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7B" w:rsidRPr="00BB3A59" w:rsidRDefault="00EF767B" w:rsidP="00EF767B">
      <w:pPr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3A5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uk-UA" w:eastAsia="ru-RU"/>
        </w:rPr>
        <w:t>ПОЯСНЮВАЛЬНА ЗАПИСКА</w:t>
      </w:r>
    </w:p>
    <w:p w:rsidR="00EF767B" w:rsidRPr="00BB3A59" w:rsidRDefault="00EF767B" w:rsidP="00AD1E3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3A5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>до про</w:t>
      </w:r>
      <w:r w:rsidR="001B2C2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>є</w:t>
      </w:r>
      <w:r w:rsidRPr="00BB3A5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 xml:space="preserve">кту постанови </w:t>
      </w:r>
      <w:r w:rsidRPr="00BB3A5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Кабінету Міністрів України </w:t>
      </w:r>
    </w:p>
    <w:p w:rsidR="00AD1E36" w:rsidRPr="00BB3A59" w:rsidRDefault="00EF767B" w:rsidP="00AD1E36">
      <w:pPr>
        <w:spacing w:after="0" w:line="240" w:lineRule="auto"/>
        <w:jc w:val="center"/>
        <w:rPr>
          <w:rStyle w:val="rvts23"/>
          <w:rFonts w:ascii="Times New Roman" w:hAnsi="Times New Roman" w:cs="Times New Roman"/>
          <w:b/>
          <w:sz w:val="26"/>
          <w:szCs w:val="26"/>
        </w:rPr>
      </w:pPr>
      <w:r w:rsidRPr="00BB3A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«</w:t>
      </w:r>
      <w:r w:rsidRPr="00BB3A5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  <w:t xml:space="preserve">Про внесення змін до </w:t>
      </w:r>
      <w:r w:rsidR="00AD1E36" w:rsidRPr="00BB3A59">
        <w:rPr>
          <w:rStyle w:val="rvts23"/>
          <w:rFonts w:ascii="Times New Roman" w:hAnsi="Times New Roman" w:cs="Times New Roman"/>
          <w:b/>
          <w:sz w:val="26"/>
          <w:szCs w:val="26"/>
        </w:rPr>
        <w:t xml:space="preserve">постанов Кабінету Міністрів України </w:t>
      </w:r>
    </w:p>
    <w:p w:rsidR="00AD1E36" w:rsidRPr="00BB3A59" w:rsidRDefault="00AD1E36" w:rsidP="00AD1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3A59">
        <w:rPr>
          <w:rStyle w:val="rvts23"/>
          <w:rFonts w:ascii="Times New Roman" w:hAnsi="Times New Roman" w:cs="Times New Roman"/>
          <w:b/>
          <w:sz w:val="26"/>
          <w:szCs w:val="26"/>
        </w:rPr>
        <w:t>від 6 травня 2001 р. № 440 і від 1 червня 2011 р. № 591</w:t>
      </w:r>
      <w:bookmarkStart w:id="0" w:name="n4"/>
      <w:bookmarkEnd w:id="0"/>
      <w:r w:rsidRPr="00BB3A59">
        <w:rPr>
          <w:rStyle w:val="rvts23"/>
          <w:rFonts w:ascii="Times New Roman" w:hAnsi="Times New Roman" w:cs="Times New Roman"/>
          <w:b/>
          <w:sz w:val="26"/>
          <w:szCs w:val="26"/>
          <w:lang w:val="uk-UA"/>
        </w:rPr>
        <w:t>»</w:t>
      </w:r>
      <w:r w:rsidRPr="00BB3A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507FB" w:rsidRPr="00BB3A59" w:rsidRDefault="00E507FB" w:rsidP="00EF767B">
      <w:pPr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E507FB" w:rsidRPr="00BB3A59" w:rsidRDefault="00E507FB" w:rsidP="007F01F1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3A5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Резюме</w:t>
      </w:r>
    </w:p>
    <w:p w:rsidR="00BB3A59" w:rsidRPr="00BB3A59" w:rsidRDefault="00BB3A59" w:rsidP="007F01F1">
      <w:pPr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56F" w:rsidRDefault="00DB556F" w:rsidP="007F01F1">
      <w:pPr>
        <w:spacing w:after="0" w:line="240" w:lineRule="auto"/>
        <w:ind w:firstLine="141"/>
        <w:jc w:val="both"/>
        <w:rPr>
          <w:lang w:val="uk-UA"/>
        </w:rPr>
      </w:pPr>
      <w:r w:rsidRPr="0015515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15515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Метою прийняття акта є</w:t>
      </w:r>
      <w:r w:rsidR="00422B1E" w:rsidRPr="0015515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E69CA" w:rsidRPr="0015515C">
        <w:rPr>
          <w:rFonts w:ascii="Times New Roman" w:hAnsi="Times New Roman" w:cs="Times New Roman"/>
          <w:sz w:val="26"/>
          <w:szCs w:val="26"/>
          <w:lang w:val="uk-UA"/>
        </w:rPr>
        <w:t xml:space="preserve">визначення розміру плати за </w:t>
      </w:r>
      <w:r w:rsidR="004C4977" w:rsidRPr="0015515C">
        <w:rPr>
          <w:rFonts w:ascii="Times New Roman" w:hAnsi="Times New Roman" w:cs="Times New Roman"/>
          <w:sz w:val="26"/>
          <w:szCs w:val="26"/>
          <w:lang w:val="uk-UA"/>
        </w:rPr>
        <w:t xml:space="preserve">видачу (внесення змін, переоформлення) </w:t>
      </w:r>
      <w:r w:rsidR="00422B1E" w:rsidRPr="0015515C">
        <w:rPr>
          <w:rFonts w:ascii="Times New Roman" w:hAnsi="Times New Roman" w:cs="Times New Roman"/>
          <w:sz w:val="26"/>
          <w:szCs w:val="26"/>
          <w:lang w:val="uk-UA"/>
        </w:rPr>
        <w:t>ліценз</w:t>
      </w:r>
      <w:r w:rsidR="004C4977" w:rsidRPr="0015515C">
        <w:rPr>
          <w:rFonts w:ascii="Times New Roman" w:hAnsi="Times New Roman" w:cs="Times New Roman"/>
          <w:sz w:val="26"/>
          <w:szCs w:val="26"/>
          <w:lang w:val="uk-UA"/>
        </w:rPr>
        <w:t>ії</w:t>
      </w:r>
      <w:r w:rsidR="00422B1E" w:rsidRPr="0015515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C4977" w:rsidRPr="0015515C">
        <w:rPr>
          <w:rFonts w:ascii="Times New Roman" w:hAnsi="Times New Roman" w:cs="Times New Roman"/>
          <w:sz w:val="26"/>
          <w:szCs w:val="26"/>
          <w:lang w:val="uk-UA"/>
        </w:rPr>
        <w:t>на видобування, переробку уранових руд</w:t>
      </w:r>
      <w:r w:rsidR="004C4977" w:rsidRPr="0015515C">
        <w:rPr>
          <w:sz w:val="26"/>
          <w:szCs w:val="26"/>
          <w:lang w:val="uk-UA"/>
        </w:rPr>
        <w:t xml:space="preserve"> </w:t>
      </w:r>
      <w:r w:rsidR="004C4977" w:rsidRPr="0015515C">
        <w:rPr>
          <w:rFonts w:ascii="Times New Roman" w:hAnsi="Times New Roman" w:cs="Times New Roman"/>
          <w:sz w:val="26"/>
          <w:szCs w:val="26"/>
          <w:lang w:val="uk-UA"/>
        </w:rPr>
        <w:t>та порядку її справляння</w:t>
      </w:r>
      <w:r w:rsidR="00BA66C7" w:rsidRPr="0015515C">
        <w:rPr>
          <w:rFonts w:ascii="Times New Roman" w:hAnsi="Times New Roman" w:cs="Times New Roman"/>
          <w:sz w:val="26"/>
          <w:szCs w:val="26"/>
          <w:lang w:val="uk-UA"/>
        </w:rPr>
        <w:t xml:space="preserve"> та виключення норм, що стосуються повноважень територіальних органів Держатомрегулювання щодо здійснення дозвільних процедур у сфері використання ядерної енергії, які є адміністративними послугами.</w:t>
      </w:r>
      <w:r w:rsidR="008F461F" w:rsidRPr="0015515C">
        <w:rPr>
          <w:lang w:val="uk-UA"/>
        </w:rPr>
        <w:t xml:space="preserve"> </w:t>
      </w:r>
    </w:p>
    <w:p w:rsidR="0062746D" w:rsidRPr="0091472D" w:rsidRDefault="0062746D" w:rsidP="007F01F1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46B62" w:rsidRPr="0015515C" w:rsidRDefault="00246B62" w:rsidP="007F01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515C">
        <w:rPr>
          <w:rFonts w:ascii="Times New Roman" w:hAnsi="Times New Roman" w:cs="Times New Roman"/>
          <w:b/>
          <w:sz w:val="26"/>
          <w:szCs w:val="26"/>
          <w:lang w:val="uk-UA"/>
        </w:rPr>
        <w:t>Проблема, яка потребує розв’язання</w:t>
      </w:r>
    </w:p>
    <w:p w:rsidR="00BB3A59" w:rsidRPr="00BB3A59" w:rsidRDefault="00BB3A59" w:rsidP="007F01F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17B88" w:rsidRDefault="00FD095C" w:rsidP="007F01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3A59">
        <w:rPr>
          <w:rFonts w:ascii="Times New Roman" w:hAnsi="Times New Roman" w:cs="Times New Roman"/>
          <w:sz w:val="26"/>
          <w:szCs w:val="26"/>
          <w:lang w:val="uk-UA"/>
        </w:rPr>
        <w:t xml:space="preserve">             У зв’язку з </w:t>
      </w:r>
      <w:r w:rsidR="00E267B6">
        <w:rPr>
          <w:rFonts w:ascii="Times New Roman" w:hAnsi="Times New Roman" w:cs="Times New Roman"/>
          <w:sz w:val="26"/>
          <w:szCs w:val="26"/>
          <w:lang w:val="uk-UA"/>
        </w:rPr>
        <w:t>прийняттям</w:t>
      </w:r>
      <w:r w:rsidRPr="00BB3A59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</w:t>
      </w:r>
      <w:r w:rsidR="001B330D">
        <w:rPr>
          <w:rFonts w:ascii="Times New Roman" w:hAnsi="Times New Roman" w:cs="Times New Roman"/>
          <w:sz w:val="26"/>
          <w:szCs w:val="26"/>
          <w:lang w:val="uk-UA"/>
        </w:rPr>
        <w:t>18.09.2019 р. № 107-IX</w:t>
      </w:r>
      <w:r w:rsidR="001B330D" w:rsidRPr="001B33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B3A59">
        <w:rPr>
          <w:rFonts w:ascii="Times New Roman" w:hAnsi="Times New Roman" w:cs="Times New Roman"/>
          <w:sz w:val="26"/>
          <w:szCs w:val="26"/>
          <w:lang w:val="uk-UA"/>
        </w:rPr>
        <w:t>«Пр</w:t>
      </w:r>
      <w:r w:rsidR="001B330D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BB3A59">
        <w:rPr>
          <w:rFonts w:ascii="Times New Roman" w:hAnsi="Times New Roman" w:cs="Times New Roman"/>
          <w:sz w:val="26"/>
          <w:szCs w:val="26"/>
          <w:lang w:val="uk-UA"/>
        </w:rPr>
        <w:t xml:space="preserve"> внесення змін до </w:t>
      </w:r>
      <w:r w:rsidR="003102CA" w:rsidRPr="00BB3A59">
        <w:rPr>
          <w:rFonts w:ascii="Times New Roman" w:hAnsi="Times New Roman" w:cs="Times New Roman"/>
          <w:sz w:val="26"/>
          <w:szCs w:val="26"/>
          <w:lang w:val="uk-UA"/>
        </w:rPr>
        <w:t>деяких</w:t>
      </w:r>
      <w:r w:rsidR="00E03D17" w:rsidRPr="00BB3A59">
        <w:rPr>
          <w:rFonts w:ascii="Times New Roman" w:hAnsi="Times New Roman" w:cs="Times New Roman"/>
          <w:sz w:val="26"/>
          <w:szCs w:val="26"/>
          <w:lang w:val="uk-UA"/>
        </w:rPr>
        <w:t xml:space="preserve"> законів України у сфері використання ядерної енергії</w:t>
      </w:r>
      <w:r w:rsidRPr="00BB3A59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2B4D72">
        <w:rPr>
          <w:rFonts w:ascii="Times New Roman" w:hAnsi="Times New Roman" w:cs="Times New Roman"/>
          <w:sz w:val="26"/>
          <w:szCs w:val="26"/>
          <w:lang w:val="uk-UA"/>
        </w:rPr>
        <w:t xml:space="preserve">     (далі – Закон  України № 107-IX)</w:t>
      </w:r>
      <w:r w:rsidR="00EB5607" w:rsidRPr="00BB3A59">
        <w:rPr>
          <w:rFonts w:ascii="Times New Roman" w:hAnsi="Times New Roman" w:cs="Times New Roman"/>
          <w:sz w:val="26"/>
          <w:szCs w:val="26"/>
          <w:lang w:val="uk-UA"/>
        </w:rPr>
        <w:t xml:space="preserve">, яким </w:t>
      </w:r>
      <w:r w:rsidR="00E03D17" w:rsidRPr="00BB3A5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B330D" w:rsidRPr="00BB3A59">
        <w:rPr>
          <w:rFonts w:ascii="Times New Roman" w:hAnsi="Times New Roman" w:cs="Times New Roman"/>
          <w:sz w:val="26"/>
          <w:szCs w:val="26"/>
          <w:lang w:val="uk-UA"/>
        </w:rPr>
        <w:t>внесені</w:t>
      </w:r>
      <w:r w:rsidR="00E03D17" w:rsidRPr="00BB3A59">
        <w:rPr>
          <w:rFonts w:ascii="Times New Roman" w:hAnsi="Times New Roman" w:cs="Times New Roman"/>
          <w:sz w:val="26"/>
          <w:szCs w:val="26"/>
          <w:lang w:val="uk-UA"/>
        </w:rPr>
        <w:t xml:space="preserve"> зміни до</w:t>
      </w:r>
      <w:r w:rsidR="001B33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B5607" w:rsidRPr="00BB3A59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E03D17" w:rsidRPr="00BB3A59">
        <w:rPr>
          <w:rFonts w:ascii="Times New Roman" w:hAnsi="Times New Roman" w:cs="Times New Roman"/>
          <w:sz w:val="26"/>
          <w:szCs w:val="26"/>
          <w:lang w:val="uk-UA"/>
        </w:rPr>
        <w:t>акон</w:t>
      </w:r>
      <w:r w:rsidR="00EB5607" w:rsidRPr="00BB3A59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E03D17" w:rsidRPr="00BB3A59">
        <w:rPr>
          <w:rFonts w:ascii="Times New Roman" w:hAnsi="Times New Roman" w:cs="Times New Roman"/>
          <w:sz w:val="26"/>
          <w:szCs w:val="26"/>
          <w:lang w:val="uk-UA"/>
        </w:rPr>
        <w:t xml:space="preserve"> України «</w:t>
      </w:r>
      <w:r w:rsidR="00EB5607" w:rsidRPr="00BB3A59">
        <w:rPr>
          <w:rFonts w:ascii="Times New Roman" w:hAnsi="Times New Roman" w:cs="Times New Roman"/>
          <w:sz w:val="26"/>
          <w:szCs w:val="26"/>
          <w:lang w:val="uk-UA"/>
        </w:rPr>
        <w:t>Про використання ядерної енергії та радіаційну безпеку</w:t>
      </w:r>
      <w:r w:rsidR="00E03D17" w:rsidRPr="00BB3A59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EB5607" w:rsidRPr="00BB3A59">
        <w:rPr>
          <w:rFonts w:ascii="Times New Roman" w:hAnsi="Times New Roman" w:cs="Times New Roman"/>
          <w:sz w:val="26"/>
          <w:szCs w:val="26"/>
          <w:lang w:val="uk-UA"/>
        </w:rPr>
        <w:t xml:space="preserve">, «Про видобування і переробку уранових руд», «Про дозвільну діяльність у сфері використання ядерної енергії» у частині </w:t>
      </w:r>
      <w:r w:rsidR="001B330D" w:rsidRPr="001B330D">
        <w:rPr>
          <w:rFonts w:ascii="Times New Roman" w:hAnsi="Times New Roman" w:cs="Times New Roman"/>
          <w:sz w:val="26"/>
          <w:szCs w:val="26"/>
          <w:lang w:val="uk-UA"/>
        </w:rPr>
        <w:t>поширення державного регулювання у сфері використання ядерної енергії на діяльність з видобування уранових</w:t>
      </w:r>
      <w:r w:rsidR="00A05EF4">
        <w:rPr>
          <w:rFonts w:ascii="Times New Roman" w:hAnsi="Times New Roman" w:cs="Times New Roman"/>
          <w:sz w:val="26"/>
          <w:szCs w:val="26"/>
          <w:lang w:val="uk-UA"/>
        </w:rPr>
        <w:t xml:space="preserve"> руд</w:t>
      </w:r>
      <w:r w:rsidR="00517B88" w:rsidRPr="00BB3A5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1B330D">
        <w:rPr>
          <w:rFonts w:ascii="Times New Roman" w:hAnsi="Times New Roman" w:cs="Times New Roman"/>
          <w:sz w:val="26"/>
          <w:szCs w:val="26"/>
          <w:lang w:val="uk-UA"/>
        </w:rPr>
        <w:t xml:space="preserve"> виникла</w:t>
      </w:r>
      <w:r w:rsidR="00EB5607" w:rsidRPr="00BB3A59">
        <w:rPr>
          <w:rFonts w:ascii="Times New Roman" w:hAnsi="Times New Roman" w:cs="Times New Roman"/>
          <w:sz w:val="26"/>
          <w:szCs w:val="26"/>
          <w:lang w:val="uk-UA"/>
        </w:rPr>
        <w:t xml:space="preserve"> необхідність </w:t>
      </w:r>
      <w:r w:rsidR="00517B88" w:rsidRPr="00BB3A59">
        <w:rPr>
          <w:rFonts w:ascii="Times New Roman" w:hAnsi="Times New Roman" w:cs="Times New Roman"/>
          <w:sz w:val="26"/>
          <w:szCs w:val="26"/>
          <w:lang w:val="uk-UA"/>
        </w:rPr>
        <w:t xml:space="preserve">приведення </w:t>
      </w:r>
      <w:r w:rsidR="001B330D">
        <w:rPr>
          <w:rFonts w:ascii="Times New Roman" w:hAnsi="Times New Roman" w:cs="Times New Roman"/>
          <w:sz w:val="26"/>
          <w:szCs w:val="26"/>
          <w:lang w:val="uk-UA"/>
        </w:rPr>
        <w:t xml:space="preserve">до норм Закону </w:t>
      </w:r>
      <w:r w:rsidR="001B330D" w:rsidRPr="001B330D">
        <w:rPr>
          <w:rFonts w:ascii="Times New Roman" w:hAnsi="Times New Roman" w:cs="Times New Roman"/>
          <w:sz w:val="26"/>
          <w:szCs w:val="26"/>
          <w:lang w:val="uk-UA"/>
        </w:rPr>
        <w:t>№ 107-IX Порядку справляння плати за здійснення дозвільних процедур у сфері використання ядерної енергії, затвердженого постановою Кабінету Міністрів України від 6 травня 2001 р. № 440</w:t>
      </w:r>
      <w:r w:rsidR="001B330D">
        <w:rPr>
          <w:rFonts w:ascii="Times New Roman" w:hAnsi="Times New Roman" w:cs="Times New Roman"/>
          <w:sz w:val="26"/>
          <w:szCs w:val="26"/>
          <w:lang w:val="uk-UA"/>
        </w:rPr>
        <w:t xml:space="preserve">, та </w:t>
      </w:r>
      <w:r w:rsidR="00422B1E" w:rsidRPr="00422B1E">
        <w:rPr>
          <w:rFonts w:ascii="Times New Roman" w:hAnsi="Times New Roman" w:cs="Times New Roman"/>
          <w:sz w:val="26"/>
          <w:szCs w:val="26"/>
          <w:lang w:val="uk-UA"/>
        </w:rPr>
        <w:t>Переліку платних адміністративних послуг, які надаються Державною інспекцією ядерного регулювання, і розмірі</w:t>
      </w:r>
      <w:r w:rsidR="00A05EF4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422B1E" w:rsidRPr="00422B1E">
        <w:rPr>
          <w:rFonts w:ascii="Times New Roman" w:hAnsi="Times New Roman" w:cs="Times New Roman"/>
          <w:sz w:val="26"/>
          <w:szCs w:val="26"/>
          <w:lang w:val="uk-UA"/>
        </w:rPr>
        <w:t xml:space="preserve"> плати за їх надання, затверджених постановою Кабінету Міністрів України від 1 червня 2011 р. № 591</w:t>
      </w:r>
      <w:r w:rsidR="00422B1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A120D" w:rsidRPr="0015515C" w:rsidRDefault="009A120D" w:rsidP="007F01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515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Крім того, у зв’язку з тим, що відповідно до постанови Кабінету Міністрів України від 8 червня 2016 р. </w:t>
      </w:r>
      <w:r w:rsidR="0015515C" w:rsidRPr="0015515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№</w:t>
      </w:r>
      <w:r w:rsidRPr="0015515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358 «Про функціонування територіальних органів Державної інспекції ядерного регулювання» територіальні органи Держатомрегулювання ліквідовані як юридичні особи публічного права, ці органи втратили повноваження </w:t>
      </w:r>
      <w:r w:rsidRPr="0015515C">
        <w:rPr>
          <w:rFonts w:ascii="Times New Roman" w:hAnsi="Times New Roman" w:cs="Times New Roman"/>
          <w:sz w:val="26"/>
          <w:szCs w:val="26"/>
          <w:lang w:val="uk-UA"/>
        </w:rPr>
        <w:t>щодо здійснення дозвільних процедур у сфері використання ядерної енергії, які є адміністративними послугами</w:t>
      </w:r>
      <w:r w:rsidR="00411016" w:rsidRPr="0015515C">
        <w:rPr>
          <w:rFonts w:ascii="Times New Roman" w:hAnsi="Times New Roman" w:cs="Times New Roman"/>
          <w:sz w:val="26"/>
          <w:szCs w:val="26"/>
          <w:lang w:val="uk-UA"/>
        </w:rPr>
        <w:t>, і тому</w:t>
      </w:r>
      <w:r w:rsidRPr="0015515C">
        <w:rPr>
          <w:rFonts w:ascii="Times New Roman" w:hAnsi="Times New Roman" w:cs="Times New Roman"/>
          <w:sz w:val="26"/>
          <w:szCs w:val="26"/>
          <w:lang w:val="uk-UA"/>
        </w:rPr>
        <w:t xml:space="preserve"> виникла необхідність внесення змін до Порядку справляння плати за здійснення дозвільних процедур у сфері використання ядерної енергії, затвердженого постановою Кабінету Міністрів України від 6 травня 2001 р. № 440.</w:t>
      </w:r>
    </w:p>
    <w:p w:rsidR="009A120D" w:rsidRPr="009A120D" w:rsidRDefault="009A120D" w:rsidP="007F01F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E414D" w:rsidRDefault="004E414D" w:rsidP="007F01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B3A5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Суть </w:t>
      </w:r>
      <w:r w:rsidR="00422B1E">
        <w:rPr>
          <w:rFonts w:ascii="Times New Roman" w:hAnsi="Times New Roman" w:cs="Times New Roman"/>
          <w:b/>
          <w:sz w:val="26"/>
          <w:szCs w:val="26"/>
          <w:lang w:val="uk-UA"/>
        </w:rPr>
        <w:t>про</w:t>
      </w:r>
      <w:r w:rsidR="007F01F1">
        <w:rPr>
          <w:rFonts w:ascii="Times New Roman" w:hAnsi="Times New Roman" w:cs="Times New Roman"/>
          <w:b/>
          <w:sz w:val="26"/>
          <w:szCs w:val="26"/>
          <w:lang w:val="uk-UA"/>
        </w:rPr>
        <w:t>є</w:t>
      </w:r>
      <w:r w:rsidR="00422B1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кту </w:t>
      </w:r>
      <w:r w:rsidR="001B0996" w:rsidRPr="00BB3A59">
        <w:rPr>
          <w:rFonts w:ascii="Times New Roman" w:hAnsi="Times New Roman" w:cs="Times New Roman"/>
          <w:b/>
          <w:sz w:val="26"/>
          <w:szCs w:val="26"/>
          <w:lang w:val="uk-UA"/>
        </w:rPr>
        <w:t>акта</w:t>
      </w:r>
    </w:p>
    <w:p w:rsidR="00BB3A59" w:rsidRPr="00BB3A59" w:rsidRDefault="00BB3A59" w:rsidP="007F01F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1472D" w:rsidRPr="00C6196A" w:rsidRDefault="009505F8" w:rsidP="007F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B3A59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          </w:t>
      </w:r>
      <w:r w:rsidR="0091472D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Проблем</w:t>
      </w:r>
      <w:r w:rsidR="00411016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а</w:t>
      </w:r>
      <w:r w:rsidR="0091472D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, яка виникла у</w:t>
      </w:r>
      <w:r w:rsidR="0091472D" w:rsidRPr="00BB3A59">
        <w:rPr>
          <w:rFonts w:ascii="Times New Roman" w:hAnsi="Times New Roman" w:cs="Times New Roman"/>
          <w:sz w:val="26"/>
          <w:szCs w:val="26"/>
          <w:lang w:val="uk-UA"/>
        </w:rPr>
        <w:t xml:space="preserve"> зв’язку з </w:t>
      </w:r>
      <w:r w:rsidR="0091472D" w:rsidRPr="001B330D">
        <w:rPr>
          <w:rFonts w:ascii="Times New Roman" w:hAnsi="Times New Roman" w:cs="Times New Roman"/>
          <w:sz w:val="26"/>
          <w:szCs w:val="26"/>
          <w:lang w:val="uk-UA"/>
        </w:rPr>
        <w:t>поширення</w:t>
      </w:r>
      <w:r w:rsidR="00C6196A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91472D" w:rsidRPr="001B330D">
        <w:rPr>
          <w:rFonts w:ascii="Times New Roman" w:hAnsi="Times New Roman" w:cs="Times New Roman"/>
          <w:sz w:val="26"/>
          <w:szCs w:val="26"/>
          <w:lang w:val="uk-UA"/>
        </w:rPr>
        <w:t xml:space="preserve"> державного регулювання у сфері використання ядерної енергії на діяльність з видобування уранових</w:t>
      </w:r>
      <w:r w:rsidR="0091472D">
        <w:rPr>
          <w:rFonts w:ascii="Times New Roman" w:hAnsi="Times New Roman" w:cs="Times New Roman"/>
          <w:sz w:val="26"/>
          <w:szCs w:val="26"/>
          <w:lang w:val="uk-UA"/>
        </w:rPr>
        <w:t xml:space="preserve"> руд відповідно до </w:t>
      </w:r>
      <w:r w:rsidR="0091472D" w:rsidRPr="00BB3A59">
        <w:rPr>
          <w:rFonts w:ascii="Times New Roman" w:hAnsi="Times New Roman" w:cs="Times New Roman"/>
          <w:sz w:val="26"/>
          <w:szCs w:val="26"/>
          <w:lang w:val="uk-UA"/>
        </w:rPr>
        <w:t xml:space="preserve">Закону України </w:t>
      </w:r>
      <w:r w:rsidR="0091472D">
        <w:rPr>
          <w:rFonts w:ascii="Times New Roman" w:hAnsi="Times New Roman" w:cs="Times New Roman"/>
          <w:sz w:val="26"/>
          <w:szCs w:val="26"/>
          <w:lang w:val="uk-UA"/>
        </w:rPr>
        <w:t xml:space="preserve">№ 107-IX, тобто у зв’язку із  ліцензуванням не лише </w:t>
      </w:r>
      <w:r w:rsidR="009147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переробки, а й видобування</w:t>
      </w:r>
      <w:r w:rsidR="0091472D" w:rsidRPr="004267F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уранових руд</w:t>
      </w:r>
      <w:r w:rsidR="0091472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A560B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вирішується </w:t>
      </w:r>
      <w:r w:rsidR="007A560B" w:rsidRPr="00C6196A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шляхом</w:t>
      </w:r>
      <w:r w:rsidRPr="00C6196A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</w:t>
      </w:r>
      <w:r w:rsidR="007A560B" w:rsidRPr="00C6196A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внесення </w:t>
      </w:r>
      <w:r w:rsidR="00F75ACB" w:rsidRPr="00C6196A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відповідних </w:t>
      </w:r>
      <w:r w:rsidR="007A560B" w:rsidRPr="00C6196A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змін</w:t>
      </w:r>
      <w:r w:rsidR="009432F2" w:rsidRPr="00C6196A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до </w:t>
      </w:r>
      <w:r w:rsidR="007A560B" w:rsidRPr="00C6196A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Порядку справляння плати за здійснення дозвільних процедур у сфері використання ядерної енергії, затвердженого постановою Кабінету Міністрів України від 6 травня 2001 р. № 440, та Переліку платних адміністративних послуг, </w:t>
      </w:r>
      <w:r w:rsidR="007A560B" w:rsidRPr="00C6196A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lastRenderedPageBreak/>
        <w:t>які надаються Державною інспекцією ядерного регулювання, і розмірі</w:t>
      </w:r>
      <w:r w:rsidR="00A05EF4" w:rsidRPr="00C6196A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в</w:t>
      </w:r>
      <w:r w:rsidR="007A560B" w:rsidRPr="00C6196A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плати за їх надання, затверджених постановою Кабінету Міністрів України від 1 червня 2011 р. № 591</w:t>
      </w:r>
      <w:r w:rsidRPr="00C619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A80270" w:rsidRPr="00C6196A">
        <w:rPr>
          <w:lang w:val="uk-UA"/>
        </w:rPr>
        <w:t xml:space="preserve"> </w:t>
      </w:r>
      <w:r w:rsidR="00A80270" w:rsidRPr="00C6196A">
        <w:rPr>
          <w:rFonts w:ascii="Times New Roman" w:hAnsi="Times New Roman" w:cs="Times New Roman"/>
          <w:sz w:val="26"/>
          <w:szCs w:val="26"/>
          <w:lang w:val="uk-UA"/>
        </w:rPr>
        <w:t>Зміни стосуються</w:t>
      </w:r>
      <w:r w:rsidR="00A80270" w:rsidRPr="00C6196A">
        <w:rPr>
          <w:lang w:val="uk-UA"/>
        </w:rPr>
        <w:t xml:space="preserve"> </w:t>
      </w:r>
      <w:r w:rsidR="00A80270" w:rsidRPr="00C619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назви адміністративної послуги «переробка уранових руд», яка буде поширюватися також на видобування уранових руд, а саме, </w:t>
      </w:r>
      <w:r w:rsidR="0091472D" w:rsidRPr="00C619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пропонується </w:t>
      </w:r>
      <w:r w:rsidR="00A80270" w:rsidRPr="00C619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нова назва послуги - «видобування, переробка уранових руд». При цьому розмір плати за нову послугу не змінюється, оскільки</w:t>
      </w:r>
      <w:r w:rsidR="0091472D" w:rsidRPr="00C619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діяльність з видобування і</w:t>
      </w:r>
      <w:r w:rsidR="00411016" w:rsidRPr="00C619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переробки</w:t>
      </w:r>
      <w:r w:rsidR="0091472D" w:rsidRPr="00C619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уранових руд є єдиним технологічним циклом і, фактично,  весь час здійснювалась і здійснюється у відповідності з ліцензією Держатомрегулювання на переробку уранових руд</w:t>
      </w:r>
      <w:r w:rsidR="00411016" w:rsidRPr="00C619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тобто обсяг роботи органу ліцензування по наданню адміністративної послуги не збільшиться</w:t>
      </w:r>
      <w:r w:rsidR="0091472D" w:rsidRPr="00C619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216878" w:rsidRPr="00BB3A59" w:rsidRDefault="00216878" w:rsidP="007F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216878" w:rsidRDefault="00216878" w:rsidP="007F01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BB3A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Вплив на бюджет</w:t>
      </w:r>
    </w:p>
    <w:p w:rsidR="00BB3A59" w:rsidRPr="00BB3A59" w:rsidRDefault="00BB3A59" w:rsidP="007F01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:rsidR="0073465C" w:rsidRPr="007F01F1" w:rsidRDefault="00C25CFA" w:rsidP="007F01F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F01F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Реалізація акта </w:t>
      </w:r>
      <w:r w:rsidR="0073465C" w:rsidRPr="007F01F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не впливає на надходження та витрати державного та/або місцевого бюджетів. </w:t>
      </w:r>
    </w:p>
    <w:p w:rsidR="00C25CFA" w:rsidRPr="00BB3A59" w:rsidRDefault="00C25CFA" w:rsidP="007F01F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25CFA" w:rsidRDefault="00C25CFA" w:rsidP="007F01F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BB3A5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Позиція заінтересованих сторін</w:t>
      </w:r>
    </w:p>
    <w:p w:rsidR="00BB3A59" w:rsidRPr="00BB3A59" w:rsidRDefault="00BB3A59" w:rsidP="007F01F1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C25CFA" w:rsidRPr="007F01F1" w:rsidRDefault="00C25CFA" w:rsidP="007F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F01F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Реалізація акту не матиме впливів на ключові інтереси заінтересованих сторін.</w:t>
      </w:r>
    </w:p>
    <w:p w:rsidR="002D3A67" w:rsidRPr="007F01F1" w:rsidRDefault="00F75ACB" w:rsidP="007F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F01F1">
        <w:rPr>
          <w:rFonts w:ascii="Times New Roman" w:eastAsia="Times New Roman" w:hAnsi="Times New Roman" w:cs="Times New Roman"/>
          <w:sz w:val="26"/>
          <w:szCs w:val="26"/>
          <w:lang w:val="uk-UA"/>
        </w:rPr>
        <w:t>Про</w:t>
      </w:r>
      <w:r w:rsidR="007F01F1" w:rsidRPr="007F01F1">
        <w:rPr>
          <w:rFonts w:ascii="Times New Roman" w:eastAsia="Times New Roman" w:hAnsi="Times New Roman" w:cs="Times New Roman"/>
          <w:sz w:val="26"/>
          <w:szCs w:val="26"/>
          <w:lang w:val="uk-UA"/>
        </w:rPr>
        <w:t>є</w:t>
      </w:r>
      <w:r w:rsidRPr="007F01F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кт акта </w:t>
      </w:r>
      <w:r w:rsidR="00C25CFA" w:rsidRPr="007F01F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C25CFA" w:rsidRPr="007F01F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не </w:t>
      </w:r>
      <w:r w:rsidR="006748C8" w:rsidRPr="007F01F1">
        <w:rPr>
          <w:rFonts w:ascii="Times New Roman" w:eastAsia="Times New Roman" w:hAnsi="Times New Roman" w:cs="Times New Roman"/>
          <w:sz w:val="26"/>
          <w:szCs w:val="26"/>
          <w:lang w:val="uk-UA"/>
        </w:rPr>
        <w:t>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</w:t>
      </w:r>
      <w:r w:rsidR="002D3A67" w:rsidRPr="007F01F1">
        <w:rPr>
          <w:rFonts w:ascii="Times New Roman" w:eastAsia="Times New Roman" w:hAnsi="Times New Roman" w:cs="Times New Roman"/>
          <w:sz w:val="26"/>
          <w:szCs w:val="26"/>
          <w:lang w:val="uk-UA"/>
        </w:rPr>
        <w:t>, прав осіб з</w:t>
      </w:r>
      <w:r w:rsidR="006748C8" w:rsidRPr="007F01F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інвалід</w:t>
      </w:r>
      <w:r w:rsidR="002D3A67" w:rsidRPr="007F01F1">
        <w:rPr>
          <w:rFonts w:ascii="Times New Roman" w:eastAsia="Times New Roman" w:hAnsi="Times New Roman" w:cs="Times New Roman"/>
          <w:sz w:val="26"/>
          <w:szCs w:val="26"/>
          <w:lang w:val="uk-UA"/>
        </w:rPr>
        <w:t>ністю</w:t>
      </w:r>
      <w:r w:rsidR="006748C8" w:rsidRPr="007F01F1">
        <w:rPr>
          <w:rFonts w:ascii="Times New Roman" w:eastAsia="Times New Roman" w:hAnsi="Times New Roman" w:cs="Times New Roman"/>
          <w:sz w:val="26"/>
          <w:szCs w:val="26"/>
          <w:lang w:val="uk-UA"/>
        </w:rPr>
        <w:t>, тобто не потребує врахування позиції уповноважених представників всеукраїнських</w:t>
      </w:r>
      <w:r w:rsidR="002D3A67" w:rsidRPr="007F01F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всеукраїнських громадських організацій осіб з інвалідністю, їх спілок</w:t>
      </w:r>
      <w:r w:rsidR="00A05EF4" w:rsidRPr="007F01F1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D3A67" w:rsidRPr="007F01F1" w:rsidRDefault="00F75ACB" w:rsidP="007F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F01F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Про</w:t>
      </w:r>
      <w:r w:rsidR="007F01F1" w:rsidRPr="007F01F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є</w:t>
      </w:r>
      <w:r w:rsidRPr="007F01F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кт акта  </w:t>
      </w:r>
      <w:r w:rsidR="002D3A67" w:rsidRPr="007F01F1">
        <w:rPr>
          <w:rFonts w:ascii="Times New Roman" w:eastAsia="Times New Roman" w:hAnsi="Times New Roman" w:cs="Times New Roman"/>
          <w:sz w:val="26"/>
          <w:szCs w:val="26"/>
          <w:lang w:val="uk-UA"/>
        </w:rPr>
        <w:t>не стосується сфери наукової та науково-технічної діяльності.</w:t>
      </w:r>
    </w:p>
    <w:p w:rsidR="002D3A67" w:rsidRPr="007F01F1" w:rsidRDefault="002D3A67" w:rsidP="007F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7F01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Враховуючи зазначене консультації із заінтересованими сторонами стосовно</w:t>
      </w:r>
      <w:r w:rsidRPr="007F01F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F75ACB" w:rsidRPr="007F01F1">
        <w:rPr>
          <w:rFonts w:ascii="Times New Roman" w:eastAsia="Times New Roman" w:hAnsi="Times New Roman" w:cs="Times New Roman"/>
          <w:sz w:val="26"/>
          <w:szCs w:val="26"/>
          <w:lang w:val="uk-UA"/>
        </w:rPr>
        <w:t>про</w:t>
      </w:r>
      <w:r w:rsidR="007F01F1" w:rsidRPr="007F01F1">
        <w:rPr>
          <w:rFonts w:ascii="Times New Roman" w:eastAsia="Times New Roman" w:hAnsi="Times New Roman" w:cs="Times New Roman"/>
          <w:sz w:val="26"/>
          <w:szCs w:val="26"/>
          <w:lang w:val="uk-UA"/>
        </w:rPr>
        <w:t>є</w:t>
      </w:r>
      <w:r w:rsidR="00F75ACB" w:rsidRPr="007F01F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кту </w:t>
      </w:r>
      <w:r w:rsidRPr="007F01F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акт</w:t>
      </w:r>
      <w:r w:rsidR="00F75ACB" w:rsidRPr="007F01F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а</w:t>
      </w:r>
      <w:r w:rsidRPr="007F01F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7F01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не проводилися.</w:t>
      </w:r>
    </w:p>
    <w:p w:rsidR="006748C8" w:rsidRDefault="006748C8" w:rsidP="007F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82F21" w:rsidRDefault="00382F21" w:rsidP="007F01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BB3A5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Прогноз впливу</w:t>
      </w:r>
    </w:p>
    <w:p w:rsidR="00BB3A59" w:rsidRPr="00BB3A59" w:rsidRDefault="00BB3A59" w:rsidP="007F01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4F1466" w:rsidRDefault="00733FCE" w:rsidP="007F01F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6"/>
          <w:szCs w:val="26"/>
        </w:rPr>
      </w:pPr>
      <w:r w:rsidRPr="007F01F1">
        <w:rPr>
          <w:sz w:val="26"/>
          <w:szCs w:val="26"/>
        </w:rPr>
        <w:t xml:space="preserve">Реалізація </w:t>
      </w:r>
      <w:r w:rsidR="00F75ACB" w:rsidRPr="007F01F1">
        <w:rPr>
          <w:sz w:val="26"/>
          <w:szCs w:val="26"/>
        </w:rPr>
        <w:t>про</w:t>
      </w:r>
      <w:r w:rsidR="007F01F1" w:rsidRPr="007F01F1">
        <w:rPr>
          <w:sz w:val="26"/>
          <w:szCs w:val="26"/>
        </w:rPr>
        <w:t>є</w:t>
      </w:r>
      <w:r w:rsidR="00F75ACB" w:rsidRPr="007F01F1">
        <w:rPr>
          <w:sz w:val="26"/>
          <w:szCs w:val="26"/>
        </w:rPr>
        <w:t xml:space="preserve">кту </w:t>
      </w:r>
      <w:r w:rsidRPr="007F01F1">
        <w:rPr>
          <w:sz w:val="26"/>
          <w:szCs w:val="26"/>
        </w:rPr>
        <w:t>акт</w:t>
      </w:r>
      <w:r w:rsidR="00F75ACB" w:rsidRPr="007F01F1">
        <w:rPr>
          <w:sz w:val="26"/>
          <w:szCs w:val="26"/>
        </w:rPr>
        <w:t>а</w:t>
      </w:r>
      <w:r w:rsidRPr="007F01F1">
        <w:rPr>
          <w:sz w:val="26"/>
          <w:szCs w:val="26"/>
        </w:rPr>
        <w:t xml:space="preserve"> не матиме </w:t>
      </w:r>
      <w:r w:rsidR="00AD1CA9" w:rsidRPr="007F01F1">
        <w:rPr>
          <w:sz w:val="26"/>
          <w:szCs w:val="26"/>
        </w:rPr>
        <w:t xml:space="preserve">негативного </w:t>
      </w:r>
      <w:r w:rsidRPr="007F01F1">
        <w:rPr>
          <w:sz w:val="26"/>
          <w:szCs w:val="26"/>
        </w:rPr>
        <w:t xml:space="preserve">впливу на </w:t>
      </w:r>
      <w:r w:rsidR="004F1466" w:rsidRPr="007F01F1">
        <w:rPr>
          <w:sz w:val="26"/>
          <w:szCs w:val="26"/>
        </w:rPr>
        <w:t>ринкове середо</w:t>
      </w:r>
      <w:r w:rsidR="00F75ACB" w:rsidRPr="007F01F1">
        <w:rPr>
          <w:sz w:val="26"/>
          <w:szCs w:val="26"/>
        </w:rPr>
        <w:t>вище, забезпечення захисту прав</w:t>
      </w:r>
      <w:r w:rsidR="004F1466" w:rsidRPr="007F01F1">
        <w:rPr>
          <w:sz w:val="26"/>
          <w:szCs w:val="26"/>
        </w:rPr>
        <w:t xml:space="preserve"> та інтересів суб’єктів господарювання, громадян і держави; розвиток регіонів, підвищення 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</w:t>
      </w:r>
      <w:r w:rsidR="005B4B35" w:rsidRPr="007F01F1">
        <w:rPr>
          <w:sz w:val="26"/>
          <w:szCs w:val="26"/>
        </w:rPr>
        <w:t>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D03D97" w:rsidRDefault="00D03D97" w:rsidP="007F01F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6"/>
          <w:szCs w:val="26"/>
        </w:rPr>
      </w:pPr>
    </w:p>
    <w:p w:rsidR="00D03D97" w:rsidRDefault="00D03D97" w:rsidP="00D03D97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</w:rPr>
      </w:pPr>
      <w:r w:rsidRPr="00BB3A59">
        <w:rPr>
          <w:b/>
          <w:color w:val="000000"/>
          <w:sz w:val="26"/>
          <w:szCs w:val="26"/>
        </w:rPr>
        <w:t>Позиція заінтересованих органів</w:t>
      </w:r>
    </w:p>
    <w:p w:rsidR="00D03D97" w:rsidRDefault="00D03D97" w:rsidP="00D03D97">
      <w:pPr>
        <w:pStyle w:val="rvps2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b/>
          <w:sz w:val="26"/>
          <w:szCs w:val="26"/>
        </w:rPr>
      </w:pPr>
    </w:p>
    <w:p w:rsidR="00D03D97" w:rsidRPr="007F01F1" w:rsidRDefault="00D03D97" w:rsidP="00D03D9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7F01F1">
        <w:rPr>
          <w:sz w:val="26"/>
          <w:szCs w:val="26"/>
        </w:rPr>
        <w:t xml:space="preserve">Проєкт акта потребує погодження з Міністерством фінансів України, Міністерством розвитку економіки, торгівлі та сільського господарства України, Міністерством енергетики та захисту довкілля України, Державною регуляторною </w:t>
      </w:r>
      <w:r w:rsidRPr="007F01F1">
        <w:rPr>
          <w:sz w:val="26"/>
          <w:szCs w:val="26"/>
        </w:rPr>
        <w:lastRenderedPageBreak/>
        <w:t>службою України та проведення правової експертизи Міністерством юстиції України.</w:t>
      </w:r>
    </w:p>
    <w:p w:rsidR="00D03D97" w:rsidRPr="00D03D97" w:rsidRDefault="00D03D97" w:rsidP="00D03D97">
      <w:pPr>
        <w:pStyle w:val="rvps2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b/>
          <w:sz w:val="26"/>
          <w:szCs w:val="26"/>
        </w:rPr>
      </w:pPr>
    </w:p>
    <w:p w:rsidR="00765225" w:rsidRDefault="00765225" w:rsidP="007F01F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</w:rPr>
      </w:pPr>
      <w:r w:rsidRPr="00BB3A59">
        <w:rPr>
          <w:b/>
          <w:color w:val="000000"/>
          <w:sz w:val="26"/>
          <w:szCs w:val="26"/>
        </w:rPr>
        <w:t>Ризики та обмеження</w:t>
      </w:r>
    </w:p>
    <w:p w:rsidR="00BB3A59" w:rsidRPr="007F01F1" w:rsidRDefault="00BB3A59" w:rsidP="007F01F1">
      <w:pPr>
        <w:pStyle w:val="rvps2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b/>
          <w:sz w:val="26"/>
          <w:szCs w:val="26"/>
        </w:rPr>
      </w:pPr>
    </w:p>
    <w:p w:rsidR="002D3A67" w:rsidRPr="007F01F1" w:rsidRDefault="00742417" w:rsidP="007F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F01F1">
        <w:rPr>
          <w:rFonts w:ascii="Times New Roman" w:hAnsi="Times New Roman" w:cs="Times New Roman"/>
          <w:sz w:val="26"/>
          <w:szCs w:val="26"/>
          <w:lang w:val="uk-UA"/>
        </w:rPr>
        <w:t xml:space="preserve">            У </w:t>
      </w:r>
      <w:r w:rsidR="00F8114B" w:rsidRPr="007F01F1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7F01F1" w:rsidRPr="007F01F1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F8114B" w:rsidRPr="007F01F1">
        <w:rPr>
          <w:rFonts w:ascii="Times New Roman" w:hAnsi="Times New Roman" w:cs="Times New Roman"/>
          <w:sz w:val="26"/>
          <w:szCs w:val="26"/>
          <w:lang w:val="uk-UA"/>
        </w:rPr>
        <w:t>кті акта відсутні</w:t>
      </w:r>
      <w:r w:rsidRPr="007F01F1">
        <w:rPr>
          <w:rFonts w:ascii="Times New Roman" w:hAnsi="Times New Roman" w:cs="Times New Roman"/>
          <w:sz w:val="26"/>
          <w:szCs w:val="26"/>
          <w:lang w:val="uk-UA"/>
        </w:rPr>
        <w:t xml:space="preserve"> положення, </w:t>
      </w:r>
      <w:r w:rsidR="002D3A67" w:rsidRPr="007F01F1">
        <w:rPr>
          <w:rFonts w:ascii="Times New Roman" w:hAnsi="Times New Roman" w:cs="Times New Roman"/>
          <w:sz w:val="26"/>
          <w:szCs w:val="26"/>
          <w:lang w:val="uk-UA"/>
        </w:rPr>
        <w:t>що стосуються прав та свобод</w:t>
      </w:r>
      <w:r w:rsidRPr="007F01F1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7F01F1">
        <w:rPr>
          <w:rFonts w:ascii="Times New Roman" w:eastAsia="Times New Roman" w:hAnsi="Times New Roman" w:cs="Times New Roman"/>
          <w:sz w:val="26"/>
          <w:szCs w:val="26"/>
          <w:lang w:val="uk-UA"/>
        </w:rPr>
        <w:t>гарантованих Конвенцією про захист прав людини і основоположних свобод</w:t>
      </w:r>
      <w:r w:rsidR="002D3A67" w:rsidRPr="007F01F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впливають на забезпечення рівних прав та можливостей жінок і чоловіків, </w:t>
      </w:r>
      <w:r w:rsidR="00807D8E" w:rsidRPr="007F01F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що </w:t>
      </w:r>
      <w:r w:rsidR="002D3A67" w:rsidRPr="007F01F1">
        <w:rPr>
          <w:rFonts w:ascii="Times New Roman" w:eastAsia="Times New Roman" w:hAnsi="Times New Roman" w:cs="Times New Roman"/>
          <w:sz w:val="26"/>
          <w:szCs w:val="26"/>
          <w:lang w:val="uk-UA"/>
        </w:rPr>
        <w:t>містять ризики вчинення корупційних правопорушень та правопорушень, пов’язаних з корупцією, створюють підстави для дискримінації, стосуються інших ризиків та обмежень, які можуть виникнути під час реалізації акта.</w:t>
      </w:r>
    </w:p>
    <w:p w:rsidR="002D3A67" w:rsidRPr="007F01F1" w:rsidRDefault="002D3A67" w:rsidP="007F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F01F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</w:t>
      </w:r>
      <w:r w:rsidR="00F8114B" w:rsidRPr="007F01F1">
        <w:rPr>
          <w:rFonts w:ascii="Times New Roman" w:eastAsia="Times New Roman" w:hAnsi="Times New Roman" w:cs="Times New Roman"/>
          <w:sz w:val="26"/>
          <w:szCs w:val="26"/>
          <w:lang w:val="uk-UA"/>
        </w:rPr>
        <w:t>Проєкт акта</w:t>
      </w:r>
      <w:r w:rsidRPr="007F01F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 потребує проведення громадської антидискримінаційної експертизи.</w:t>
      </w:r>
    </w:p>
    <w:p w:rsidR="002D3A67" w:rsidRPr="002D3A67" w:rsidRDefault="002D3A67" w:rsidP="007F01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B2C2B" w:rsidRPr="001B2C2B" w:rsidRDefault="001B2C2B" w:rsidP="007F01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742417" w:rsidRDefault="00742417" w:rsidP="007F01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BB3A5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Підстава розроблення акта</w:t>
      </w:r>
    </w:p>
    <w:p w:rsidR="00BB3A59" w:rsidRPr="00BB3A59" w:rsidRDefault="00BB3A59" w:rsidP="007F01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4F027D" w:rsidRDefault="00613947" w:rsidP="007F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B3A5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</w:t>
      </w:r>
      <w:r w:rsidRPr="00BB3A5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Підставою для розроблення постанови Кабінету Міністрів України </w:t>
      </w:r>
      <w:r w:rsidRPr="00BB3A59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«Про внесення змін до постанов Кабінету Міністрів України від 6 травня 2001 року № 440 і від 01 червня 2011 року № 591» є </w:t>
      </w:r>
      <w:r w:rsidRPr="00613947">
        <w:rPr>
          <w:rFonts w:ascii="Times New Roman" w:eastAsia="Times New Roman" w:hAnsi="Times New Roman" w:cs="Times New Roman"/>
          <w:sz w:val="26"/>
          <w:szCs w:val="26"/>
          <w:lang w:val="uk-UA"/>
        </w:rPr>
        <w:t>вимоги</w:t>
      </w:r>
      <w:r w:rsidR="0041101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пункт</w:t>
      </w:r>
      <w:r w:rsidR="007F01F1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="0041101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2 Прикінцевих положень </w:t>
      </w:r>
      <w:r w:rsidRPr="006139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396357" w:rsidRPr="00396357">
        <w:rPr>
          <w:rFonts w:ascii="Times New Roman" w:eastAsia="Times New Roman" w:hAnsi="Times New Roman" w:cs="Times New Roman"/>
          <w:sz w:val="26"/>
          <w:szCs w:val="26"/>
          <w:lang w:val="uk-UA"/>
        </w:rPr>
        <w:t>Закону України № 107-IX, яким  внесені зміни до законів України «Про використання ядерної енергії та радіаційну безпеку», «Про видобування і переробку уранових руд», «Про дозвільну діяльність у сфері використання ядерної енергії» у частині поширення державного регулювання у сфері використання ядерної енергії на діяльність з видобування уранових руд</w:t>
      </w:r>
      <w:r w:rsidR="00396357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B4D72" w:rsidRPr="00BB3A59" w:rsidRDefault="002B4D72" w:rsidP="007F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F027D" w:rsidRDefault="004F027D" w:rsidP="007F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24445" w:rsidRDefault="00B24445" w:rsidP="007F0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D03D97" w:rsidRPr="005F0E74" w:rsidRDefault="00D03D97" w:rsidP="007F0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1840"/>
        <w:gridCol w:w="3115"/>
      </w:tblGrid>
      <w:tr w:rsidR="00E27CCC" w:rsidRPr="00C12C47" w:rsidTr="00FB71C2">
        <w:tc>
          <w:tcPr>
            <w:tcW w:w="4390" w:type="dxa"/>
            <w:shd w:val="clear" w:color="auto" w:fill="auto"/>
          </w:tcPr>
          <w:p w:rsidR="00E27CCC" w:rsidRPr="007C03EF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3EF">
              <w:rPr>
                <w:rFonts w:ascii="Times New Roman" w:hAnsi="Times New Roman"/>
                <w:b/>
                <w:sz w:val="28"/>
                <w:szCs w:val="28"/>
              </w:rPr>
              <w:t>Голова Державної інспекції</w:t>
            </w:r>
          </w:p>
          <w:p w:rsidR="00E27CCC" w:rsidRPr="007C03EF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3EF">
              <w:rPr>
                <w:rFonts w:ascii="Times New Roman" w:hAnsi="Times New Roman"/>
                <w:b/>
                <w:sz w:val="28"/>
                <w:szCs w:val="28"/>
              </w:rPr>
              <w:t>ядерного регулювання України</w:t>
            </w:r>
          </w:p>
          <w:p w:rsidR="00E27CCC" w:rsidRPr="007C03EF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27CCC" w:rsidRPr="007C03EF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27CCC" w:rsidRPr="007C03EF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3EF">
              <w:rPr>
                <w:rFonts w:ascii="Times New Roman" w:hAnsi="Times New Roman"/>
                <w:b/>
                <w:sz w:val="28"/>
                <w:szCs w:val="28"/>
              </w:rPr>
              <w:t>______  ______________ 20</w:t>
            </w:r>
            <w:r w:rsidR="00536F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20 </w:t>
            </w:r>
            <w:r w:rsidRPr="007C03EF">
              <w:rPr>
                <w:rFonts w:ascii="Times New Roman" w:hAnsi="Times New Roman"/>
                <w:b/>
                <w:sz w:val="28"/>
                <w:szCs w:val="28"/>
              </w:rPr>
              <w:t xml:space="preserve"> р.</w:t>
            </w:r>
          </w:p>
          <w:p w:rsidR="00E27CCC" w:rsidRPr="007C03EF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E27CCC" w:rsidRPr="007C03EF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7CCC" w:rsidRPr="007C03EF" w:rsidRDefault="00E27CCC" w:rsidP="007F0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7CCC" w:rsidRPr="007C03EF" w:rsidRDefault="00E27CCC" w:rsidP="007F0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:rsidR="00E27CCC" w:rsidRPr="007C03EF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7CCC" w:rsidRPr="007C03EF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3EF">
              <w:rPr>
                <w:rFonts w:ascii="Times New Roman" w:hAnsi="Times New Roman"/>
                <w:b/>
                <w:sz w:val="28"/>
                <w:szCs w:val="28"/>
              </w:rPr>
              <w:t>Григорій ПЛАЧКОВ</w:t>
            </w:r>
          </w:p>
          <w:p w:rsidR="00E27CCC" w:rsidRPr="007C03EF" w:rsidRDefault="00E27CCC" w:rsidP="007F0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7CCC" w:rsidRPr="007C03EF" w:rsidRDefault="00E27CCC" w:rsidP="007F0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7CCC" w:rsidTr="00FB71C2">
        <w:tc>
          <w:tcPr>
            <w:tcW w:w="4390" w:type="dxa"/>
            <w:shd w:val="clear" w:color="auto" w:fill="auto"/>
          </w:tcPr>
          <w:p w:rsidR="00E27CCC" w:rsidRPr="007C03EF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E27CCC" w:rsidRPr="007C03EF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E27CCC" w:rsidRPr="007C03EF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CCC" w:rsidTr="00FB71C2">
        <w:tc>
          <w:tcPr>
            <w:tcW w:w="4390" w:type="dxa"/>
            <w:shd w:val="clear" w:color="auto" w:fill="auto"/>
          </w:tcPr>
          <w:p w:rsidR="00E27CCC" w:rsidRPr="007C03EF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E27CCC" w:rsidRPr="007C03EF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E27CCC" w:rsidRPr="007C03EF" w:rsidRDefault="00E27CCC" w:rsidP="007F0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0E74" w:rsidRPr="00BB3A59" w:rsidRDefault="005F0E74" w:rsidP="007F01F1">
      <w:pPr>
        <w:spacing w:after="0" w:line="240" w:lineRule="auto"/>
        <w:jc w:val="both"/>
        <w:rPr>
          <w:sz w:val="26"/>
          <w:szCs w:val="26"/>
        </w:rPr>
      </w:pPr>
    </w:p>
    <w:p w:rsidR="00B24445" w:rsidRPr="00BB3A59" w:rsidRDefault="00B24445" w:rsidP="007F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B3A59" w:rsidRPr="00BB3A59" w:rsidRDefault="00742417" w:rsidP="007F0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BB3A5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</w:t>
      </w:r>
    </w:p>
    <w:p w:rsidR="00742417" w:rsidRPr="00BB3A59" w:rsidRDefault="00742417" w:rsidP="0074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BB3A5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</w:t>
      </w:r>
    </w:p>
    <w:p w:rsidR="00613947" w:rsidRPr="00BB3A59" w:rsidRDefault="00613947" w:rsidP="0074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613947" w:rsidRPr="00BB3A59" w:rsidRDefault="00613947" w:rsidP="0074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613947" w:rsidRPr="00BB3A59" w:rsidRDefault="00613947" w:rsidP="0074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sectPr w:rsidR="00613947" w:rsidRPr="00BB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05E28"/>
    <w:multiLevelType w:val="hybridMultilevel"/>
    <w:tmpl w:val="DC0C5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9F0A64"/>
    <w:multiLevelType w:val="hybridMultilevel"/>
    <w:tmpl w:val="23AE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9605B"/>
    <w:multiLevelType w:val="hybridMultilevel"/>
    <w:tmpl w:val="4FC22F7C"/>
    <w:lvl w:ilvl="0" w:tplc="7CB2311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8564B4"/>
    <w:multiLevelType w:val="hybridMultilevel"/>
    <w:tmpl w:val="743EF620"/>
    <w:lvl w:ilvl="0" w:tplc="C002AB7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7B"/>
    <w:rsid w:val="00026C86"/>
    <w:rsid w:val="00064AD1"/>
    <w:rsid w:val="000A7DEB"/>
    <w:rsid w:val="000E3834"/>
    <w:rsid w:val="00133EDA"/>
    <w:rsid w:val="0015515C"/>
    <w:rsid w:val="001B0996"/>
    <w:rsid w:val="001B2C2B"/>
    <w:rsid w:val="001B330D"/>
    <w:rsid w:val="001B5B53"/>
    <w:rsid w:val="001D2630"/>
    <w:rsid w:val="00216878"/>
    <w:rsid w:val="00246B62"/>
    <w:rsid w:val="002B4D72"/>
    <w:rsid w:val="002D3A67"/>
    <w:rsid w:val="003102CA"/>
    <w:rsid w:val="00324F49"/>
    <w:rsid w:val="0032536D"/>
    <w:rsid w:val="00375C4F"/>
    <w:rsid w:val="00382F21"/>
    <w:rsid w:val="00396357"/>
    <w:rsid w:val="003B7836"/>
    <w:rsid w:val="003E69CA"/>
    <w:rsid w:val="00404D9E"/>
    <w:rsid w:val="00410795"/>
    <w:rsid w:val="00411016"/>
    <w:rsid w:val="00422B1E"/>
    <w:rsid w:val="00490495"/>
    <w:rsid w:val="004C4977"/>
    <w:rsid w:val="004E414D"/>
    <w:rsid w:val="004E6D7A"/>
    <w:rsid w:val="004F027D"/>
    <w:rsid w:val="004F1466"/>
    <w:rsid w:val="00500EB9"/>
    <w:rsid w:val="00510B9F"/>
    <w:rsid w:val="00517B88"/>
    <w:rsid w:val="00536F58"/>
    <w:rsid w:val="005613FD"/>
    <w:rsid w:val="005B4B35"/>
    <w:rsid w:val="005F0E74"/>
    <w:rsid w:val="005F6861"/>
    <w:rsid w:val="006017F7"/>
    <w:rsid w:val="006063DE"/>
    <w:rsid w:val="006071BF"/>
    <w:rsid w:val="00613947"/>
    <w:rsid w:val="0062746D"/>
    <w:rsid w:val="00632708"/>
    <w:rsid w:val="006706AA"/>
    <w:rsid w:val="006748C8"/>
    <w:rsid w:val="00733FCE"/>
    <w:rsid w:val="0073465C"/>
    <w:rsid w:val="00740A88"/>
    <w:rsid w:val="00742417"/>
    <w:rsid w:val="00765225"/>
    <w:rsid w:val="0076678F"/>
    <w:rsid w:val="00785528"/>
    <w:rsid w:val="007A560B"/>
    <w:rsid w:val="007D00C1"/>
    <w:rsid w:val="007F01F1"/>
    <w:rsid w:val="00807D8E"/>
    <w:rsid w:val="008327CA"/>
    <w:rsid w:val="008F461F"/>
    <w:rsid w:val="008F65E4"/>
    <w:rsid w:val="0091472D"/>
    <w:rsid w:val="00920B45"/>
    <w:rsid w:val="00940EF7"/>
    <w:rsid w:val="009432F2"/>
    <w:rsid w:val="009467E3"/>
    <w:rsid w:val="009505F8"/>
    <w:rsid w:val="00997C6F"/>
    <w:rsid w:val="009A120D"/>
    <w:rsid w:val="009E2E46"/>
    <w:rsid w:val="00A05EF4"/>
    <w:rsid w:val="00A07114"/>
    <w:rsid w:val="00A20B8D"/>
    <w:rsid w:val="00A76F59"/>
    <w:rsid w:val="00A80270"/>
    <w:rsid w:val="00AD1CA9"/>
    <w:rsid w:val="00AD1E36"/>
    <w:rsid w:val="00B02039"/>
    <w:rsid w:val="00B102AD"/>
    <w:rsid w:val="00B24445"/>
    <w:rsid w:val="00BA66C7"/>
    <w:rsid w:val="00BB3A59"/>
    <w:rsid w:val="00BB757C"/>
    <w:rsid w:val="00BC5342"/>
    <w:rsid w:val="00BE4C27"/>
    <w:rsid w:val="00BF4A31"/>
    <w:rsid w:val="00C25CFA"/>
    <w:rsid w:val="00C6196A"/>
    <w:rsid w:val="00C62241"/>
    <w:rsid w:val="00C75E1E"/>
    <w:rsid w:val="00C8029D"/>
    <w:rsid w:val="00C94339"/>
    <w:rsid w:val="00CC6959"/>
    <w:rsid w:val="00CF3CD5"/>
    <w:rsid w:val="00D03D97"/>
    <w:rsid w:val="00D2448F"/>
    <w:rsid w:val="00D32B0D"/>
    <w:rsid w:val="00D44D3A"/>
    <w:rsid w:val="00D60B1A"/>
    <w:rsid w:val="00DB556F"/>
    <w:rsid w:val="00DE477B"/>
    <w:rsid w:val="00E03D17"/>
    <w:rsid w:val="00E267B6"/>
    <w:rsid w:val="00E27CCC"/>
    <w:rsid w:val="00E507FB"/>
    <w:rsid w:val="00E61C8E"/>
    <w:rsid w:val="00EB5607"/>
    <w:rsid w:val="00EF767B"/>
    <w:rsid w:val="00F03C37"/>
    <w:rsid w:val="00F0544E"/>
    <w:rsid w:val="00F13228"/>
    <w:rsid w:val="00F75ACB"/>
    <w:rsid w:val="00F8114B"/>
    <w:rsid w:val="00FD095C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00825-2722-43F1-9F95-39A519A5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B"/>
    <w:pPr>
      <w:ind w:left="720"/>
      <w:contextualSpacing/>
    </w:pPr>
  </w:style>
  <w:style w:type="paragraph" w:styleId="a4">
    <w:name w:val="Normal (Web)"/>
    <w:basedOn w:val="a"/>
    <w:rsid w:val="00D2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17F7"/>
    <w:rPr>
      <w:color w:val="0000FF"/>
      <w:u w:val="single"/>
    </w:rPr>
  </w:style>
  <w:style w:type="character" w:customStyle="1" w:styleId="rvts0">
    <w:name w:val="rvts0"/>
    <w:basedOn w:val="a0"/>
    <w:rsid w:val="006017F7"/>
  </w:style>
  <w:style w:type="character" w:customStyle="1" w:styleId="rvts23">
    <w:name w:val="rvts23"/>
    <w:basedOn w:val="a0"/>
    <w:rsid w:val="00F0544E"/>
  </w:style>
  <w:style w:type="paragraph" w:customStyle="1" w:styleId="rvps2">
    <w:name w:val="rvps2"/>
    <w:basedOn w:val="a"/>
    <w:rsid w:val="007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6">
    <w:name w:val="Table Grid"/>
    <w:basedOn w:val="a1"/>
    <w:rsid w:val="00BB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9CA"/>
    <w:rPr>
      <w:rFonts w:ascii="Segoe UI" w:hAnsi="Segoe UI" w:cs="Segoe UI"/>
      <w:sz w:val="18"/>
      <w:szCs w:val="18"/>
    </w:rPr>
  </w:style>
  <w:style w:type="paragraph" w:customStyle="1" w:styleId="tj">
    <w:name w:val="tj"/>
    <w:basedOn w:val="a"/>
    <w:rsid w:val="00BA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Тетяна Василівна</dc:creator>
  <cp:keywords/>
  <dc:description/>
  <cp:lastModifiedBy>Герасименко Тетяна Василівна</cp:lastModifiedBy>
  <cp:revision>5</cp:revision>
  <dcterms:created xsi:type="dcterms:W3CDTF">2020-01-10T13:02:00Z</dcterms:created>
  <dcterms:modified xsi:type="dcterms:W3CDTF">2020-01-11T08:19:00Z</dcterms:modified>
</cp:coreProperties>
</file>