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5B" w:rsidRDefault="001D015B" w:rsidP="001D015B">
      <w:pPr>
        <w:spacing w:after="0"/>
        <w:jc w:val="center"/>
        <w:rPr>
          <w:rFonts w:ascii="Times New Roman" w:hAnsi="Times New Roman" w:cs="Times New Roman"/>
          <w:b/>
          <w:sz w:val="26"/>
          <w:szCs w:val="26"/>
          <w:lang w:val="uk-UA"/>
        </w:rPr>
      </w:pPr>
      <w:r w:rsidRPr="001D015B">
        <w:rPr>
          <w:rFonts w:ascii="Times New Roman" w:hAnsi="Times New Roman" w:cs="Times New Roman"/>
          <w:b/>
          <w:sz w:val="26"/>
          <w:szCs w:val="26"/>
          <w:lang w:val="uk-UA"/>
        </w:rPr>
        <w:t xml:space="preserve">Перелік пропозицій (зауважень), що надійшли до </w:t>
      </w:r>
    </w:p>
    <w:p w:rsidR="001D015B" w:rsidRDefault="001D015B" w:rsidP="001D015B">
      <w:pPr>
        <w:spacing w:after="0"/>
        <w:jc w:val="center"/>
        <w:rPr>
          <w:rFonts w:ascii="Times New Roman" w:hAnsi="Times New Roman" w:cs="Times New Roman"/>
          <w:b/>
          <w:sz w:val="26"/>
          <w:szCs w:val="26"/>
          <w:lang w:val="uk-UA"/>
        </w:rPr>
      </w:pPr>
      <w:r w:rsidRPr="001D015B">
        <w:rPr>
          <w:rFonts w:ascii="Times New Roman" w:hAnsi="Times New Roman" w:cs="Times New Roman"/>
          <w:b/>
          <w:sz w:val="26"/>
          <w:szCs w:val="26"/>
          <w:lang w:val="uk-UA"/>
        </w:rPr>
        <w:t xml:space="preserve">Держатомрегулювання протягом публічного громадського обговорення, </w:t>
      </w:r>
    </w:p>
    <w:p w:rsidR="007150E5" w:rsidRDefault="001D015B" w:rsidP="001D015B">
      <w:pPr>
        <w:spacing w:after="0"/>
        <w:jc w:val="center"/>
        <w:rPr>
          <w:rFonts w:ascii="Times New Roman" w:hAnsi="Times New Roman" w:cs="Times New Roman"/>
          <w:b/>
          <w:sz w:val="26"/>
          <w:szCs w:val="26"/>
          <w:lang w:val="uk-UA"/>
        </w:rPr>
      </w:pPr>
      <w:r w:rsidRPr="001D015B">
        <w:rPr>
          <w:rFonts w:ascii="Times New Roman" w:hAnsi="Times New Roman" w:cs="Times New Roman"/>
          <w:b/>
          <w:sz w:val="26"/>
          <w:szCs w:val="26"/>
          <w:lang w:val="uk-UA"/>
        </w:rPr>
        <w:t>а також відомості про врахування або відхилення пропозицій (зауважень)</w:t>
      </w:r>
    </w:p>
    <w:p w:rsidR="001D015B" w:rsidRDefault="001D015B" w:rsidP="001D015B">
      <w:pPr>
        <w:spacing w:after="0"/>
        <w:jc w:val="center"/>
        <w:rPr>
          <w:rFonts w:ascii="Times New Roman" w:hAnsi="Times New Roman" w:cs="Times New Roman"/>
          <w:b/>
          <w:sz w:val="26"/>
          <w:szCs w:val="26"/>
          <w:lang w:val="uk-UA"/>
        </w:rPr>
      </w:pPr>
    </w:p>
    <w:tbl>
      <w:tblPr>
        <w:tblStyle w:val="a7"/>
        <w:tblW w:w="15304" w:type="dxa"/>
        <w:tblLook w:val="04A0" w:firstRow="1" w:lastRow="0" w:firstColumn="1" w:lastColumn="0" w:noHBand="0" w:noVBand="1"/>
      </w:tblPr>
      <w:tblGrid>
        <w:gridCol w:w="846"/>
        <w:gridCol w:w="4678"/>
        <w:gridCol w:w="9780"/>
      </w:tblGrid>
      <w:tr w:rsidR="001D015B" w:rsidRPr="007205B4" w:rsidTr="00A56DE0">
        <w:tc>
          <w:tcPr>
            <w:tcW w:w="846" w:type="dxa"/>
            <w:shd w:val="clear" w:color="auto" w:fill="D9D9D9" w:themeFill="background1" w:themeFillShade="D9"/>
          </w:tcPr>
          <w:p w:rsidR="00D93A63" w:rsidRDefault="00D93A63" w:rsidP="001D015B">
            <w:pPr>
              <w:jc w:val="center"/>
              <w:rPr>
                <w:rFonts w:ascii="Times New Roman" w:hAnsi="Times New Roman" w:cs="Times New Roman"/>
                <w:b/>
                <w:sz w:val="26"/>
                <w:szCs w:val="26"/>
                <w:lang w:val="uk-UA"/>
              </w:rPr>
            </w:pPr>
          </w:p>
          <w:p w:rsidR="001D015B" w:rsidRDefault="001D015B" w:rsidP="001D015B">
            <w:pPr>
              <w:jc w:val="center"/>
              <w:rPr>
                <w:rFonts w:ascii="Times New Roman" w:hAnsi="Times New Roman" w:cs="Times New Roman"/>
                <w:b/>
                <w:sz w:val="26"/>
                <w:szCs w:val="26"/>
                <w:lang w:val="uk-UA"/>
              </w:rPr>
            </w:pPr>
            <w:r>
              <w:rPr>
                <w:rFonts w:ascii="Times New Roman" w:hAnsi="Times New Roman" w:cs="Times New Roman"/>
                <w:b/>
                <w:sz w:val="26"/>
                <w:szCs w:val="26"/>
                <w:lang w:val="uk-UA"/>
              </w:rPr>
              <w:t>№</w:t>
            </w:r>
          </w:p>
        </w:tc>
        <w:tc>
          <w:tcPr>
            <w:tcW w:w="4678" w:type="dxa"/>
            <w:shd w:val="clear" w:color="auto" w:fill="D9D9D9" w:themeFill="background1" w:themeFillShade="D9"/>
          </w:tcPr>
          <w:p w:rsidR="00D93A63" w:rsidRDefault="00D93A63" w:rsidP="001D015B">
            <w:pPr>
              <w:jc w:val="center"/>
              <w:rPr>
                <w:rFonts w:ascii="Times New Roman" w:hAnsi="Times New Roman" w:cs="Times New Roman"/>
                <w:b/>
                <w:sz w:val="26"/>
                <w:szCs w:val="26"/>
                <w:lang w:val="uk-UA"/>
              </w:rPr>
            </w:pPr>
          </w:p>
          <w:p w:rsidR="001D015B" w:rsidRDefault="001D015B" w:rsidP="001D015B">
            <w:pPr>
              <w:jc w:val="center"/>
              <w:rPr>
                <w:rFonts w:ascii="Times New Roman" w:hAnsi="Times New Roman" w:cs="Times New Roman"/>
                <w:b/>
                <w:sz w:val="26"/>
                <w:szCs w:val="26"/>
                <w:lang w:val="uk-UA"/>
              </w:rPr>
            </w:pPr>
            <w:r>
              <w:rPr>
                <w:rFonts w:ascii="Times New Roman" w:hAnsi="Times New Roman" w:cs="Times New Roman"/>
                <w:b/>
                <w:sz w:val="26"/>
                <w:szCs w:val="26"/>
                <w:lang w:val="uk-UA"/>
              </w:rPr>
              <w:t>Пропозиція/зауваження/питання</w:t>
            </w:r>
          </w:p>
        </w:tc>
        <w:tc>
          <w:tcPr>
            <w:tcW w:w="9780" w:type="dxa"/>
            <w:shd w:val="clear" w:color="auto" w:fill="D9D9D9" w:themeFill="background1" w:themeFillShade="D9"/>
          </w:tcPr>
          <w:p w:rsidR="00D93A63" w:rsidRDefault="00D93A63" w:rsidP="001D015B">
            <w:pPr>
              <w:jc w:val="center"/>
              <w:rPr>
                <w:rFonts w:ascii="Times New Roman" w:hAnsi="Times New Roman" w:cs="Times New Roman"/>
                <w:b/>
                <w:sz w:val="26"/>
                <w:szCs w:val="26"/>
                <w:lang w:val="uk-UA"/>
              </w:rPr>
            </w:pPr>
          </w:p>
          <w:p w:rsidR="001D015B" w:rsidRDefault="001D015B" w:rsidP="001D015B">
            <w:pPr>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Відомості про врахування/відхилення, відповідь </w:t>
            </w:r>
          </w:p>
        </w:tc>
      </w:tr>
      <w:tr w:rsidR="001D015B" w:rsidRPr="007205B4" w:rsidTr="00BA2476">
        <w:tc>
          <w:tcPr>
            <w:tcW w:w="15304" w:type="dxa"/>
            <w:gridSpan w:val="3"/>
          </w:tcPr>
          <w:p w:rsidR="00D93A63" w:rsidRDefault="00D93A63" w:rsidP="009B07E4">
            <w:pPr>
              <w:jc w:val="both"/>
              <w:rPr>
                <w:rFonts w:ascii="Times New Roman" w:hAnsi="Times New Roman" w:cs="Times New Roman"/>
                <w:sz w:val="26"/>
                <w:szCs w:val="26"/>
                <w:lang w:val="uk-UA"/>
              </w:rPr>
            </w:pPr>
          </w:p>
          <w:p w:rsidR="00C40953" w:rsidRPr="00C40953" w:rsidRDefault="009B07E4" w:rsidP="00C40953">
            <w:pPr>
              <w:ind w:firstLine="720"/>
              <w:jc w:val="both"/>
              <w:rPr>
                <w:rFonts w:ascii="Times New Roman" w:hAnsi="Times New Roman" w:cs="Times New Roman"/>
                <w:sz w:val="26"/>
                <w:szCs w:val="26"/>
                <w:lang w:val="uk-UA"/>
              </w:rPr>
            </w:pPr>
            <w:r w:rsidRPr="009B07E4">
              <w:rPr>
                <w:rFonts w:ascii="Times New Roman" w:hAnsi="Times New Roman" w:cs="Times New Roman"/>
                <w:sz w:val="26"/>
                <w:szCs w:val="26"/>
                <w:lang w:val="uk-UA"/>
              </w:rPr>
              <w:t xml:space="preserve">Звернення </w:t>
            </w:r>
            <w:r w:rsidR="00C40953">
              <w:rPr>
                <w:rFonts w:ascii="Times New Roman" w:hAnsi="Times New Roman" w:cs="Times New Roman"/>
                <w:sz w:val="26"/>
                <w:szCs w:val="26"/>
                <w:lang w:val="uk-UA"/>
              </w:rPr>
              <w:t xml:space="preserve">від </w:t>
            </w:r>
            <w:r w:rsidR="00C42B27">
              <w:rPr>
                <w:rFonts w:ascii="Times New Roman" w:hAnsi="Times New Roman" w:cs="Times New Roman"/>
                <w:sz w:val="26"/>
                <w:szCs w:val="26"/>
                <w:lang w:val="uk-UA"/>
              </w:rPr>
              <w:t>«</w:t>
            </w:r>
            <w:r w:rsidR="00C40953" w:rsidRPr="00C40953">
              <w:rPr>
                <w:rFonts w:ascii="Times New Roman" w:hAnsi="Times New Roman" w:cs="Times New Roman"/>
                <w:sz w:val="26"/>
                <w:szCs w:val="26"/>
                <w:lang w:val="uk-UA"/>
              </w:rPr>
              <w:t>Українська екологічна асоціація «Зелений світ»</w:t>
            </w:r>
            <w:r w:rsidRPr="009B07E4">
              <w:rPr>
                <w:rFonts w:ascii="Times New Roman" w:hAnsi="Times New Roman" w:cs="Times New Roman"/>
                <w:sz w:val="26"/>
                <w:szCs w:val="26"/>
                <w:lang w:val="uk-UA"/>
              </w:rPr>
              <w:t xml:space="preserve"> від</w:t>
            </w:r>
            <w:r>
              <w:rPr>
                <w:rFonts w:ascii="Times New Roman" w:hAnsi="Times New Roman" w:cs="Times New Roman"/>
                <w:sz w:val="26"/>
                <w:szCs w:val="26"/>
                <w:lang w:val="uk-UA"/>
              </w:rPr>
              <w:t xml:space="preserve"> </w:t>
            </w:r>
            <w:r w:rsidR="00C40953">
              <w:rPr>
                <w:rFonts w:ascii="Times New Roman" w:hAnsi="Times New Roman" w:cs="Times New Roman"/>
                <w:sz w:val="26"/>
                <w:szCs w:val="26"/>
                <w:lang w:val="uk-UA"/>
              </w:rPr>
              <w:t>11.12.2020</w:t>
            </w:r>
            <w:r>
              <w:rPr>
                <w:rFonts w:ascii="Times New Roman" w:hAnsi="Times New Roman" w:cs="Times New Roman"/>
                <w:sz w:val="26"/>
                <w:szCs w:val="26"/>
                <w:lang w:val="uk-UA"/>
              </w:rPr>
              <w:t xml:space="preserve"> </w:t>
            </w:r>
            <w:r w:rsidRPr="009B07E4">
              <w:rPr>
                <w:rFonts w:ascii="Times New Roman" w:hAnsi="Times New Roman" w:cs="Times New Roman"/>
                <w:sz w:val="26"/>
                <w:szCs w:val="26"/>
                <w:lang w:val="uk-UA"/>
              </w:rPr>
              <w:t xml:space="preserve">щодо </w:t>
            </w:r>
            <w:r>
              <w:rPr>
                <w:rFonts w:ascii="Times New Roman" w:hAnsi="Times New Roman" w:cs="Times New Roman"/>
                <w:sz w:val="26"/>
                <w:szCs w:val="26"/>
                <w:lang w:val="uk-UA"/>
              </w:rPr>
              <w:t xml:space="preserve">матеріалів </w:t>
            </w:r>
            <w:r w:rsidR="00C40953" w:rsidRPr="00C40953">
              <w:rPr>
                <w:rFonts w:ascii="Times New Roman" w:hAnsi="Times New Roman" w:cs="Times New Roman"/>
                <w:sz w:val="26"/>
                <w:szCs w:val="26"/>
                <w:lang w:val="uk-UA"/>
              </w:rPr>
              <w:t>«Щодо продовження експлуатації ядерної установки-енергоблоку №5 Запорізької АЕС»</w:t>
            </w:r>
            <w:r w:rsidR="00C42B27">
              <w:rPr>
                <w:rFonts w:ascii="Times New Roman" w:hAnsi="Times New Roman" w:cs="Times New Roman"/>
                <w:sz w:val="26"/>
                <w:szCs w:val="26"/>
                <w:lang w:val="uk-UA"/>
              </w:rPr>
              <w:t>»</w:t>
            </w:r>
          </w:p>
          <w:p w:rsidR="001D015B" w:rsidRPr="009B07E4" w:rsidRDefault="001D015B" w:rsidP="009B07E4">
            <w:pPr>
              <w:jc w:val="both"/>
              <w:rPr>
                <w:rFonts w:ascii="Times New Roman" w:hAnsi="Times New Roman" w:cs="Times New Roman"/>
                <w:sz w:val="26"/>
                <w:szCs w:val="26"/>
                <w:lang w:val="uk-UA"/>
              </w:rPr>
            </w:pPr>
          </w:p>
        </w:tc>
      </w:tr>
      <w:tr w:rsidR="001D015B" w:rsidRPr="005677BA" w:rsidTr="001D015B">
        <w:tc>
          <w:tcPr>
            <w:tcW w:w="846" w:type="dxa"/>
          </w:tcPr>
          <w:p w:rsidR="00D93A63" w:rsidRDefault="00D93A63" w:rsidP="001D015B">
            <w:pPr>
              <w:jc w:val="center"/>
              <w:rPr>
                <w:rFonts w:ascii="Times New Roman" w:hAnsi="Times New Roman" w:cs="Times New Roman"/>
                <w:b/>
                <w:sz w:val="26"/>
                <w:szCs w:val="26"/>
                <w:lang w:val="uk-UA"/>
              </w:rPr>
            </w:pPr>
          </w:p>
          <w:p w:rsidR="001D015B" w:rsidRDefault="00A56DE0" w:rsidP="001D015B">
            <w:pPr>
              <w:jc w:val="center"/>
              <w:rPr>
                <w:rFonts w:ascii="Times New Roman" w:hAnsi="Times New Roman" w:cs="Times New Roman"/>
                <w:b/>
                <w:sz w:val="26"/>
                <w:szCs w:val="26"/>
                <w:lang w:val="uk-UA"/>
              </w:rPr>
            </w:pPr>
            <w:r>
              <w:rPr>
                <w:rFonts w:ascii="Times New Roman" w:hAnsi="Times New Roman" w:cs="Times New Roman"/>
                <w:b/>
                <w:sz w:val="26"/>
                <w:szCs w:val="26"/>
                <w:lang w:val="uk-UA"/>
              </w:rPr>
              <w:t>1.</w:t>
            </w:r>
          </w:p>
        </w:tc>
        <w:tc>
          <w:tcPr>
            <w:tcW w:w="4678" w:type="dxa"/>
          </w:tcPr>
          <w:p w:rsidR="00D93A63" w:rsidRDefault="00D93A63" w:rsidP="00A56DE0">
            <w:pPr>
              <w:jc w:val="both"/>
              <w:rPr>
                <w:rFonts w:ascii="Times New Roman" w:hAnsi="Times New Roman" w:cs="Times New Roman"/>
                <w:sz w:val="26"/>
                <w:szCs w:val="26"/>
                <w:lang w:val="uk-UA"/>
              </w:rPr>
            </w:pPr>
          </w:p>
          <w:p w:rsidR="001D015B" w:rsidRDefault="00C40953" w:rsidP="00A56DE0">
            <w:pPr>
              <w:jc w:val="both"/>
              <w:rPr>
                <w:rFonts w:ascii="Times New Roman" w:eastAsia="Calibri" w:hAnsi="Times New Roman" w:cs="Times New Roman"/>
                <w:sz w:val="26"/>
                <w:szCs w:val="26"/>
                <w:lang w:val="uk-UA"/>
              </w:rPr>
            </w:pPr>
            <w:r w:rsidRPr="00C40953">
              <w:rPr>
                <w:rFonts w:ascii="Times New Roman" w:eastAsia="Calibri" w:hAnsi="Times New Roman" w:cs="Times New Roman"/>
                <w:sz w:val="26"/>
                <w:szCs w:val="26"/>
                <w:lang w:val="uk-UA"/>
              </w:rPr>
              <w:t>Для цього необхідно провести аудит господарської діяльності і фінансового стану НАЕК «Енергоатом» та перевірку стану фонду поводження з РАВ  і фонду зняття блоків АЕС з експлуатації. Для оцінки обсягів шкоди необхідно визначити обсяги і характеристики РАВ на АЕС України, включно з визначенням обсягів РАВ, що утворяться при знятті АЕС з експлуатації, РАВ Чорнобильського походження (ПЗРО Підлісний, ПЗРО ІІІ черга ЧАЕС, ПЗРО Буряківка і всіх  ПВЛРО), оцінити обсяги РАВ ЧАЕС і «Укриття». Окремо надати відомості щодо РАВ уранової промисловості (</w:t>
            </w:r>
            <w:proofErr w:type="spellStart"/>
            <w:r w:rsidRPr="00C40953">
              <w:rPr>
                <w:rFonts w:ascii="Times New Roman" w:eastAsia="Calibri" w:hAnsi="Times New Roman" w:cs="Times New Roman"/>
                <w:sz w:val="26"/>
                <w:szCs w:val="26"/>
                <w:lang w:val="uk-UA"/>
              </w:rPr>
              <w:t>хвостосховища</w:t>
            </w:r>
            <w:proofErr w:type="spellEnd"/>
            <w:r w:rsidRPr="00C40953">
              <w:rPr>
                <w:rFonts w:ascii="Times New Roman" w:eastAsia="Calibri" w:hAnsi="Times New Roman" w:cs="Times New Roman"/>
                <w:sz w:val="26"/>
                <w:szCs w:val="26"/>
                <w:lang w:val="uk-UA"/>
              </w:rPr>
              <w:t xml:space="preserve"> ПХЗ, Щ та КБЖ, відвалів породи і забалансових руд) та у віданні яких господарюючих суб’єктів </w:t>
            </w:r>
            <w:r w:rsidRPr="00C40953">
              <w:rPr>
                <w:rFonts w:ascii="Times New Roman" w:eastAsia="Calibri" w:hAnsi="Times New Roman" w:cs="Times New Roman"/>
                <w:sz w:val="26"/>
                <w:szCs w:val="26"/>
                <w:lang w:val="uk-UA"/>
              </w:rPr>
              <w:lastRenderedPageBreak/>
              <w:t xml:space="preserve">вони перебувають. Щодо відпрацьованого ядерного палива то потрібні вагомі аргументи, що сукупні витрати на поводження і зберігання в проміжних сховищах цього палива,  наступна переробка і зберігання його в ще не осмислених геологічних сховищах протягом тисячі років не </w:t>
            </w:r>
            <w:proofErr w:type="spellStart"/>
            <w:r w:rsidRPr="00C40953">
              <w:rPr>
                <w:rFonts w:ascii="Times New Roman" w:eastAsia="Calibri" w:hAnsi="Times New Roman" w:cs="Times New Roman"/>
                <w:sz w:val="26"/>
                <w:szCs w:val="26"/>
                <w:lang w:val="uk-UA"/>
              </w:rPr>
              <w:t>завдасть</w:t>
            </w:r>
            <w:proofErr w:type="spellEnd"/>
            <w:r w:rsidRPr="00C40953">
              <w:rPr>
                <w:rFonts w:ascii="Times New Roman" w:eastAsia="Calibri" w:hAnsi="Times New Roman" w:cs="Times New Roman"/>
                <w:sz w:val="26"/>
                <w:szCs w:val="26"/>
                <w:lang w:val="uk-UA"/>
              </w:rPr>
              <w:t xml:space="preserve"> шкоди майбутнім поколінням (п.4 ст. 5 Закону про використання ядерної енергії і радіаційну безпеку).  </w:t>
            </w:r>
          </w:p>
          <w:p w:rsidR="00D8032F" w:rsidRPr="00C40953" w:rsidRDefault="00D8032F" w:rsidP="00A56DE0">
            <w:pPr>
              <w:jc w:val="both"/>
              <w:rPr>
                <w:rFonts w:ascii="Times New Roman" w:eastAsia="Calibri" w:hAnsi="Times New Roman" w:cs="Times New Roman"/>
                <w:sz w:val="26"/>
                <w:szCs w:val="26"/>
                <w:lang w:val="uk-UA"/>
              </w:rPr>
            </w:pPr>
          </w:p>
        </w:tc>
        <w:tc>
          <w:tcPr>
            <w:tcW w:w="9780" w:type="dxa"/>
          </w:tcPr>
          <w:p w:rsidR="007205B4" w:rsidRPr="005677BA" w:rsidRDefault="007205B4" w:rsidP="007205B4">
            <w:pPr>
              <w:ind w:firstLine="567"/>
              <w:jc w:val="both"/>
              <w:rPr>
                <w:rFonts w:ascii="Times New Roman" w:eastAsia="Calibri" w:hAnsi="Times New Roman" w:cs="Times New Roman"/>
                <w:sz w:val="26"/>
                <w:szCs w:val="26"/>
                <w:lang w:val="uk-UA"/>
              </w:rPr>
            </w:pPr>
          </w:p>
          <w:p w:rsidR="007205B4" w:rsidRDefault="007205B4" w:rsidP="007205B4">
            <w:pPr>
              <w:jc w:val="both"/>
              <w:rPr>
                <w:rFonts w:ascii="Times New Roman" w:eastAsia="Calibri" w:hAnsi="Times New Roman" w:cs="Times New Roman"/>
                <w:i/>
                <w:sz w:val="26"/>
                <w:szCs w:val="26"/>
                <w:lang w:val="uk-UA"/>
              </w:rPr>
            </w:pPr>
            <w:r>
              <w:rPr>
                <w:rFonts w:ascii="Times New Roman" w:eastAsia="Calibri" w:hAnsi="Times New Roman" w:cs="Times New Roman"/>
                <w:sz w:val="26"/>
                <w:szCs w:val="26"/>
                <w:lang w:val="uk-UA"/>
              </w:rPr>
              <w:t>В</w:t>
            </w:r>
            <w:r>
              <w:rPr>
                <w:rFonts w:ascii="Times New Roman" w:eastAsia="Calibri" w:hAnsi="Times New Roman" w:cs="Times New Roman"/>
                <w:sz w:val="26"/>
                <w:szCs w:val="26"/>
                <w:lang w:val="uk-UA"/>
              </w:rPr>
              <w:t xml:space="preserve">раховано. </w:t>
            </w:r>
            <w:bookmarkStart w:id="0" w:name="_GoBack"/>
            <w:bookmarkEnd w:id="0"/>
          </w:p>
          <w:p w:rsidR="008F673F" w:rsidRPr="005677BA" w:rsidRDefault="008F673F" w:rsidP="008F673F">
            <w:pPr>
              <w:jc w:val="both"/>
              <w:rPr>
                <w:rFonts w:ascii="Times New Roman" w:eastAsia="Calibri" w:hAnsi="Times New Roman" w:cs="Times New Roman"/>
                <w:i/>
                <w:sz w:val="26"/>
                <w:szCs w:val="26"/>
                <w:lang w:val="uk-UA"/>
              </w:rPr>
            </w:pPr>
            <w:r w:rsidRPr="005677BA">
              <w:rPr>
                <w:rFonts w:ascii="Times New Roman" w:eastAsia="Calibri" w:hAnsi="Times New Roman" w:cs="Times New Roman"/>
                <w:i/>
                <w:sz w:val="26"/>
                <w:szCs w:val="26"/>
                <w:lang w:val="uk-UA"/>
              </w:rPr>
              <w:t>Щодо процедури прийняття рішення стосовно продовження строків експлуатації енергоблоків</w:t>
            </w:r>
          </w:p>
          <w:p w:rsidR="001D015B" w:rsidRDefault="008F673F" w:rsidP="008F673F">
            <w:pPr>
              <w:jc w:val="both"/>
              <w:rPr>
                <w:rFonts w:ascii="Times New Roman" w:eastAsia="Calibri" w:hAnsi="Times New Roman" w:cs="Times New Roman"/>
                <w:sz w:val="26"/>
                <w:szCs w:val="26"/>
                <w:lang w:val="uk-UA"/>
              </w:rPr>
            </w:pPr>
            <w:r w:rsidRPr="008F673F">
              <w:rPr>
                <w:rFonts w:ascii="Times New Roman" w:eastAsia="Calibri" w:hAnsi="Times New Roman" w:cs="Times New Roman"/>
                <w:sz w:val="26"/>
                <w:szCs w:val="26"/>
                <w:lang w:val="uk-UA"/>
              </w:rPr>
              <w:t>Рішення стосовно продовження строків експлуатації енергоблоків АЕС ДП «НАЕК «Енергоатом» приймаються Держатомрегулюванням в межах компетенції, визначеної законами України, а саме: розділ ІV Закону України «Про використання ядерної енергії та радіаційну безпеку», Законом України ««Про дозвільну діяльність у сфері використання ядерної енергії» та п. п. 14 п. 4 Положення про Державну інспекцію ядерного регулювання України, затвердженого постановою Кабінету Міністрів України від 20 серпня 2014 р. № 363. Відповідно до статті 6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рішення щодо продовження терміну експлуатації існуючих ядерних установок і об'єктів, призначених для поводження з радіоактивними відходами, які мають загальнодержавне значення, приймається органом державного регулювання ядерної та радіаційної безпеки на підставі висновку державної експертизи ядерної та радіаційної безпеки шляхом внесення змін до ліцензії на експлуатацію ядерної установки або об'єкта, призначеного для поводження з радіоактивними відходами</w:t>
            </w:r>
            <w:r>
              <w:rPr>
                <w:rFonts w:ascii="Times New Roman" w:eastAsia="Calibri" w:hAnsi="Times New Roman" w:cs="Times New Roman"/>
                <w:sz w:val="26"/>
                <w:szCs w:val="26"/>
                <w:lang w:val="uk-UA"/>
              </w:rPr>
              <w:t>.</w:t>
            </w:r>
            <w:r w:rsidRPr="008F673F">
              <w:rPr>
                <w:rFonts w:ascii="Times New Roman" w:eastAsia="Calibri" w:hAnsi="Times New Roman" w:cs="Times New Roman"/>
                <w:sz w:val="26"/>
                <w:szCs w:val="26"/>
                <w:lang w:val="uk-UA"/>
              </w:rPr>
              <w:t xml:space="preserve"> Підставою для прийняття рішення щодо внесення відповідних змін до ліцензії на право здійснення діяльності «експлуатація ядерної установки» є позитивний висновок державної експертизи з ядерної та радіаційної </w:t>
            </w:r>
            <w:r w:rsidRPr="008F673F">
              <w:rPr>
                <w:rFonts w:ascii="Times New Roman" w:eastAsia="Calibri" w:hAnsi="Times New Roman" w:cs="Times New Roman"/>
                <w:sz w:val="26"/>
                <w:szCs w:val="26"/>
                <w:lang w:val="uk-UA"/>
              </w:rPr>
              <w:lastRenderedPageBreak/>
              <w:t>безпеки звіту з періодичної переоцінки безпеки (ЗППБ), що розробляється у відповідності до Загальних вимог до продовження експлуатації енергоблоків АЕС у понадпроектний строк за результатами здійснення періодичної переоцінки безпеки (НП 306.2.099-2004). Аналогічний підхід щодо розробки ЗППБ рекомендовано документом МАГАТЕ SSG-25 «</w:t>
            </w:r>
            <w:proofErr w:type="spellStart"/>
            <w:r w:rsidRPr="008F673F">
              <w:rPr>
                <w:rFonts w:ascii="Times New Roman" w:eastAsia="Calibri" w:hAnsi="Times New Roman" w:cs="Times New Roman"/>
                <w:sz w:val="26"/>
                <w:szCs w:val="26"/>
                <w:lang w:val="uk-UA"/>
              </w:rPr>
              <w:t>Periodic</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Safety</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Review</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of</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Nuclear</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Power</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Plants</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Specific</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Safety</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Guide</w:t>
            </w:r>
            <w:proofErr w:type="spellEnd"/>
            <w:r w:rsidRPr="008F673F">
              <w:rPr>
                <w:rFonts w:ascii="Times New Roman" w:eastAsia="Calibri" w:hAnsi="Times New Roman" w:cs="Times New Roman"/>
                <w:sz w:val="26"/>
                <w:szCs w:val="26"/>
                <w:lang w:val="uk-UA"/>
              </w:rPr>
              <w:t xml:space="preserve">» та референтними рівнями Асоціації західноєвропейських ядерних регулюючих органів «WENRA </w:t>
            </w:r>
            <w:proofErr w:type="spellStart"/>
            <w:r w:rsidRPr="008F673F">
              <w:rPr>
                <w:rFonts w:ascii="Times New Roman" w:eastAsia="Calibri" w:hAnsi="Times New Roman" w:cs="Times New Roman"/>
                <w:sz w:val="26"/>
                <w:szCs w:val="26"/>
                <w:lang w:val="uk-UA"/>
              </w:rPr>
              <w:t>Safety</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Reference</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Levels</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for</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Existing</w:t>
            </w:r>
            <w:proofErr w:type="spellEnd"/>
            <w:r w:rsidRPr="008F673F">
              <w:rPr>
                <w:rFonts w:ascii="Times New Roman" w:eastAsia="Calibri" w:hAnsi="Times New Roman" w:cs="Times New Roman"/>
                <w:sz w:val="26"/>
                <w:szCs w:val="26"/>
                <w:lang w:val="uk-UA"/>
              </w:rPr>
              <w:t xml:space="preserve"> </w:t>
            </w:r>
            <w:proofErr w:type="spellStart"/>
            <w:r w:rsidRPr="008F673F">
              <w:rPr>
                <w:rFonts w:ascii="Times New Roman" w:eastAsia="Calibri" w:hAnsi="Times New Roman" w:cs="Times New Roman"/>
                <w:sz w:val="26"/>
                <w:szCs w:val="26"/>
                <w:lang w:val="uk-UA"/>
              </w:rPr>
              <w:t>Reactors</w:t>
            </w:r>
            <w:proofErr w:type="spellEnd"/>
            <w:r w:rsidRPr="008F673F">
              <w:rPr>
                <w:rFonts w:ascii="Times New Roman" w:eastAsia="Calibri" w:hAnsi="Times New Roman" w:cs="Times New Roman"/>
                <w:sz w:val="26"/>
                <w:szCs w:val="26"/>
                <w:lang w:val="uk-UA"/>
              </w:rPr>
              <w:t>» (WENRA).</w:t>
            </w:r>
          </w:p>
          <w:p w:rsidR="008F673F" w:rsidRPr="005677BA" w:rsidRDefault="008F673F" w:rsidP="008F673F">
            <w:pPr>
              <w:jc w:val="both"/>
              <w:rPr>
                <w:rFonts w:ascii="Times New Roman" w:eastAsia="Calibri" w:hAnsi="Times New Roman" w:cs="Times New Roman"/>
                <w:sz w:val="26"/>
                <w:szCs w:val="26"/>
                <w:lang w:val="uk-UA"/>
              </w:rPr>
            </w:pPr>
          </w:p>
          <w:p w:rsidR="008F673F" w:rsidRPr="005677BA" w:rsidRDefault="008F673F" w:rsidP="008F673F">
            <w:pPr>
              <w:jc w:val="both"/>
              <w:rPr>
                <w:rFonts w:ascii="Times New Roman" w:eastAsia="Calibri" w:hAnsi="Times New Roman" w:cs="Times New Roman"/>
                <w:i/>
                <w:sz w:val="26"/>
                <w:szCs w:val="26"/>
                <w:lang w:val="uk-UA"/>
              </w:rPr>
            </w:pPr>
            <w:r w:rsidRPr="005677BA">
              <w:rPr>
                <w:rFonts w:ascii="Times New Roman" w:eastAsia="Calibri" w:hAnsi="Times New Roman" w:cs="Times New Roman"/>
                <w:i/>
                <w:sz w:val="26"/>
                <w:szCs w:val="26"/>
                <w:lang w:val="uk-UA"/>
              </w:rPr>
              <w:t>Щодо зняття з експлуатації та поводження з РАВ</w:t>
            </w:r>
          </w:p>
          <w:p w:rsidR="005677BA" w:rsidRPr="005677BA" w:rsidRDefault="005677BA" w:rsidP="005677BA">
            <w:pPr>
              <w:ind w:firstLine="567"/>
              <w:jc w:val="both"/>
              <w:rPr>
                <w:rFonts w:ascii="Times New Roman" w:eastAsia="Calibri" w:hAnsi="Times New Roman" w:cs="Times New Roman"/>
                <w:sz w:val="26"/>
                <w:szCs w:val="26"/>
                <w:lang w:val="uk-UA"/>
              </w:rPr>
            </w:pPr>
            <w:r w:rsidRPr="005677BA">
              <w:rPr>
                <w:rFonts w:ascii="Times New Roman" w:eastAsia="Calibri" w:hAnsi="Times New Roman" w:cs="Times New Roman"/>
                <w:sz w:val="26"/>
                <w:szCs w:val="26"/>
                <w:lang w:val="uk-UA"/>
              </w:rPr>
              <w:t xml:space="preserve">1. </w:t>
            </w:r>
            <w:r w:rsidRPr="00F652E8">
              <w:rPr>
                <w:rFonts w:ascii="Times New Roman" w:eastAsia="Calibri" w:hAnsi="Times New Roman" w:cs="Times New Roman"/>
                <w:sz w:val="26"/>
                <w:szCs w:val="26"/>
                <w:u w:val="single"/>
                <w:lang w:val="uk-UA"/>
              </w:rPr>
              <w:t>Щодо Державного фонду поводження з РАВ (Фонд РАВ).</w:t>
            </w:r>
          </w:p>
          <w:p w:rsidR="005677BA" w:rsidRPr="005677BA" w:rsidRDefault="005677BA" w:rsidP="005677BA">
            <w:pPr>
              <w:pStyle w:val="ae"/>
              <w:ind w:firstLine="567"/>
              <w:jc w:val="both"/>
              <w:rPr>
                <w:rFonts w:eastAsia="Calibri"/>
                <w:szCs w:val="26"/>
                <w:lang w:eastAsia="en-US"/>
              </w:rPr>
            </w:pPr>
            <w:r w:rsidRPr="005677BA">
              <w:rPr>
                <w:rFonts w:eastAsia="Calibri"/>
                <w:szCs w:val="26"/>
                <w:lang w:eastAsia="en-US"/>
              </w:rPr>
              <w:t>Кошти Державного фонду поводження з РАВ спрямовуються на реалізацію бюджетних програм, у межах яких виконуються роботи зі створення об’єктів, призначених для поводження з РАВ, які передані ліцензіатами у власність держави. Фонд має накопичувальний характер. Постановою Кабінету Міністрів України від 25 квітня 2018 року № 330 затверджено Порядок використання коштів Державного фонду поводження з РАВ. Розпорядником коштів є Державне агентство України з управління зоною відчуження.</w:t>
            </w:r>
          </w:p>
          <w:p w:rsidR="005677BA" w:rsidRPr="005677BA" w:rsidRDefault="005677BA" w:rsidP="005677BA">
            <w:pPr>
              <w:pStyle w:val="af"/>
              <w:ind w:firstLine="567"/>
              <w:jc w:val="both"/>
              <w:rPr>
                <w:rFonts w:ascii="Times New Roman" w:hAnsi="Times New Roman"/>
                <w:sz w:val="26"/>
                <w:szCs w:val="26"/>
                <w:lang w:eastAsia="en-US"/>
              </w:rPr>
            </w:pPr>
          </w:p>
          <w:p w:rsidR="005677BA" w:rsidRPr="005677BA" w:rsidRDefault="005677BA" w:rsidP="005677BA">
            <w:pPr>
              <w:pStyle w:val="af"/>
              <w:ind w:firstLine="567"/>
              <w:jc w:val="both"/>
              <w:rPr>
                <w:rFonts w:ascii="Times New Roman" w:hAnsi="Times New Roman"/>
                <w:sz w:val="26"/>
                <w:szCs w:val="26"/>
                <w:lang w:eastAsia="en-US"/>
              </w:rPr>
            </w:pPr>
            <w:r w:rsidRPr="005677BA">
              <w:rPr>
                <w:rFonts w:ascii="Times New Roman" w:hAnsi="Times New Roman"/>
                <w:sz w:val="26"/>
                <w:szCs w:val="26"/>
                <w:lang w:eastAsia="en-US"/>
              </w:rPr>
              <w:t xml:space="preserve">2. </w:t>
            </w:r>
            <w:r w:rsidRPr="00F652E8">
              <w:rPr>
                <w:rFonts w:ascii="Times New Roman" w:hAnsi="Times New Roman"/>
                <w:sz w:val="26"/>
                <w:szCs w:val="26"/>
                <w:u w:val="single"/>
                <w:lang w:eastAsia="en-US"/>
              </w:rPr>
              <w:t>Щодо Фінансового резерву для зняття з експлуатації ядерних установок (Фонд зняття з експлуатації)</w:t>
            </w:r>
            <w:r w:rsidRPr="005677BA">
              <w:rPr>
                <w:rFonts w:ascii="Times New Roman" w:hAnsi="Times New Roman"/>
                <w:sz w:val="26"/>
                <w:szCs w:val="26"/>
                <w:lang w:eastAsia="en-US"/>
              </w:rPr>
              <w:t xml:space="preserve"> </w:t>
            </w:r>
          </w:p>
          <w:p w:rsidR="005677BA" w:rsidRPr="004964BC" w:rsidRDefault="005677BA" w:rsidP="005677BA">
            <w:pPr>
              <w:pStyle w:val="af"/>
              <w:ind w:firstLine="567"/>
              <w:jc w:val="both"/>
              <w:rPr>
                <w:rFonts w:ascii="Times New Roman" w:hAnsi="Times New Roman"/>
                <w:sz w:val="26"/>
                <w:szCs w:val="26"/>
                <w:lang w:eastAsia="en-US"/>
              </w:rPr>
            </w:pPr>
            <w:r w:rsidRPr="004964BC">
              <w:rPr>
                <w:rFonts w:ascii="Times New Roman" w:hAnsi="Times New Roman"/>
                <w:sz w:val="26"/>
                <w:szCs w:val="26"/>
                <w:lang w:eastAsia="en-US"/>
              </w:rPr>
              <w:t>Правові та організаційні засади фінансового забезпечення діяльності з припинення експлуатації та зняття з експлуатації ядерних установок визначені Законом України «Про впорядкування питань, пов’язаних із забезпеченням ядерної безпеки». Згідно із зазначеним законом Експлуатуюча організація (оператор) здійснює відрахування коштів на спеціальний рахунок, який відкривається у центральному органі виконавчої влади, що реалізує державну політику у сфері казначейського обслуговування бюджетних коштів.</w:t>
            </w:r>
          </w:p>
          <w:p w:rsidR="005677BA" w:rsidRPr="004964BC" w:rsidRDefault="005677BA" w:rsidP="005677BA">
            <w:pPr>
              <w:pStyle w:val="af"/>
              <w:ind w:firstLine="567"/>
              <w:jc w:val="both"/>
              <w:rPr>
                <w:rFonts w:ascii="Times New Roman" w:hAnsi="Times New Roman"/>
                <w:sz w:val="26"/>
                <w:szCs w:val="26"/>
                <w:lang w:eastAsia="en-US"/>
              </w:rPr>
            </w:pPr>
            <w:r w:rsidRPr="004964BC">
              <w:rPr>
                <w:rFonts w:ascii="Times New Roman" w:hAnsi="Times New Roman"/>
                <w:sz w:val="26"/>
                <w:szCs w:val="26"/>
                <w:lang w:eastAsia="en-US"/>
              </w:rPr>
              <w:t>Контроль за використанням та інвестуванням коштів Фінансового резерву для зняття з експлуатації здійснюється наглядовою радою з контролю за використанням та інвестуванням коштів фінансового резерву (НР ФРЗЕ), яку утворено постановою Кабінету Міністрів України від 22.01.2014 № 21.</w:t>
            </w:r>
          </w:p>
          <w:p w:rsidR="005677BA" w:rsidRPr="005677BA" w:rsidRDefault="005677BA" w:rsidP="005677BA">
            <w:pPr>
              <w:pStyle w:val="ac"/>
              <w:ind w:firstLine="567"/>
              <w:rPr>
                <w:rFonts w:eastAsia="Calibri"/>
                <w:szCs w:val="26"/>
                <w:lang w:eastAsia="en-US"/>
              </w:rPr>
            </w:pPr>
            <w:r w:rsidRPr="005677BA">
              <w:rPr>
                <w:rFonts w:eastAsia="Calibri"/>
                <w:szCs w:val="26"/>
                <w:lang w:eastAsia="en-US"/>
              </w:rPr>
              <w:lastRenderedPageBreak/>
              <w:t>Досвід практичного впровадження механізмів, передбачених для накопичення та використання коштів на зняття з експлуатації продемонстрував необхідність вдосконалення механізмів в частині використання коштів Фінансового резерву та захисту накопичених коштів від інфляції. Міненерго розроблено проект Закону України «Про внесення змін до Бюджетного кодексу України щодо захисту коштів фінансового резерву, призначеного для зняття з експлуатації ядерних установок, від інфляції», який наразі проходить узгодження у зацікавлених центральних органах виконавчої влади.</w:t>
            </w:r>
          </w:p>
          <w:p w:rsidR="005677BA" w:rsidRPr="005677BA" w:rsidRDefault="005677BA" w:rsidP="005677BA">
            <w:pPr>
              <w:ind w:firstLine="567"/>
              <w:jc w:val="both"/>
              <w:rPr>
                <w:rFonts w:ascii="Times New Roman" w:eastAsia="Calibri" w:hAnsi="Times New Roman" w:cs="Times New Roman"/>
                <w:sz w:val="26"/>
                <w:szCs w:val="26"/>
                <w:lang w:val="uk-UA"/>
              </w:rPr>
            </w:pPr>
          </w:p>
          <w:p w:rsidR="005677BA" w:rsidRPr="005677BA" w:rsidRDefault="005677BA" w:rsidP="005677BA">
            <w:pPr>
              <w:ind w:firstLine="567"/>
              <w:jc w:val="both"/>
              <w:rPr>
                <w:rFonts w:ascii="Times New Roman" w:eastAsia="Calibri" w:hAnsi="Times New Roman" w:cs="Times New Roman"/>
                <w:sz w:val="26"/>
                <w:szCs w:val="26"/>
                <w:lang w:val="uk-UA"/>
              </w:rPr>
            </w:pPr>
            <w:r w:rsidRPr="005677BA">
              <w:rPr>
                <w:rFonts w:ascii="Times New Roman" w:eastAsia="Calibri" w:hAnsi="Times New Roman" w:cs="Times New Roman"/>
                <w:sz w:val="26"/>
                <w:szCs w:val="26"/>
                <w:lang w:val="uk-UA"/>
              </w:rPr>
              <w:t xml:space="preserve">3. </w:t>
            </w:r>
            <w:r w:rsidRPr="00F652E8">
              <w:rPr>
                <w:rFonts w:ascii="Times New Roman" w:eastAsia="Calibri" w:hAnsi="Times New Roman" w:cs="Times New Roman"/>
                <w:sz w:val="26"/>
                <w:szCs w:val="26"/>
                <w:u w:val="single"/>
                <w:lang w:val="uk-UA"/>
              </w:rPr>
              <w:t>Щодо фінансування робіт із зняття з експлуатації ЧАЕС та підтримання безпеки установок для поводження з ВЯП та РАВ під час зняття з експлуатації ЧАЕС</w:t>
            </w:r>
            <w:r w:rsidRPr="005677BA">
              <w:rPr>
                <w:rFonts w:ascii="Times New Roman" w:eastAsia="Calibri" w:hAnsi="Times New Roman" w:cs="Times New Roman"/>
                <w:sz w:val="26"/>
                <w:szCs w:val="26"/>
                <w:lang w:val="uk-UA"/>
              </w:rPr>
              <w:t>.</w:t>
            </w:r>
          </w:p>
          <w:p w:rsidR="005677BA" w:rsidRPr="005677BA" w:rsidRDefault="005677BA" w:rsidP="005677BA">
            <w:pPr>
              <w:ind w:firstLine="567"/>
              <w:jc w:val="both"/>
              <w:rPr>
                <w:rFonts w:ascii="Times New Roman" w:eastAsia="Calibri" w:hAnsi="Times New Roman" w:cs="Times New Roman"/>
                <w:sz w:val="26"/>
                <w:szCs w:val="26"/>
                <w:lang w:val="uk-UA"/>
              </w:rPr>
            </w:pPr>
            <w:r w:rsidRPr="005677BA">
              <w:rPr>
                <w:rFonts w:ascii="Times New Roman" w:eastAsia="Calibri" w:hAnsi="Times New Roman" w:cs="Times New Roman"/>
                <w:sz w:val="26"/>
                <w:szCs w:val="26"/>
                <w:lang w:val="uk-UA"/>
              </w:rPr>
              <w:t>Згідно законодавства, за рахунок Державного бюджету України, в рамках спеціальних бюджетних програм здійснюється фінансування робіт з підготовки до зняття і зняття з експлуатації енергоблоків ЧАЕС, перетворення ОУ на екологічно безпечну систему, забезпечення радіаційної безпеки, медичного та біофізичного контролю персоналу ЧАЕС та підрядних організацій, соціальний захист персоналу ЧАЕС і жителів міста Славутич.</w:t>
            </w:r>
          </w:p>
          <w:p w:rsidR="005677BA" w:rsidRPr="005677BA" w:rsidRDefault="005677BA" w:rsidP="005677BA">
            <w:pPr>
              <w:tabs>
                <w:tab w:val="left" w:pos="720"/>
              </w:tabs>
              <w:ind w:firstLine="567"/>
              <w:jc w:val="both"/>
              <w:rPr>
                <w:rFonts w:ascii="Times New Roman" w:eastAsia="Calibri" w:hAnsi="Times New Roman" w:cs="Times New Roman"/>
                <w:sz w:val="26"/>
                <w:szCs w:val="26"/>
                <w:lang w:val="uk-UA"/>
              </w:rPr>
            </w:pPr>
            <w:r w:rsidRPr="005677BA">
              <w:rPr>
                <w:rFonts w:ascii="Times New Roman" w:eastAsia="Calibri" w:hAnsi="Times New Roman" w:cs="Times New Roman"/>
                <w:sz w:val="26"/>
                <w:szCs w:val="26"/>
                <w:lang w:val="uk-UA"/>
              </w:rPr>
              <w:t xml:space="preserve">На ЧАЕС підтримка надійного та безпечного функціонування об’єктів для поводження з ВЯП та РАВ, а також здійснення збору, сортування, </w:t>
            </w:r>
            <w:proofErr w:type="spellStart"/>
            <w:r w:rsidRPr="005677BA">
              <w:rPr>
                <w:rFonts w:ascii="Times New Roman" w:eastAsia="Calibri" w:hAnsi="Times New Roman" w:cs="Times New Roman"/>
                <w:sz w:val="26"/>
                <w:szCs w:val="26"/>
                <w:lang w:val="uk-UA"/>
              </w:rPr>
              <w:t>характеризації</w:t>
            </w:r>
            <w:proofErr w:type="spellEnd"/>
            <w:r w:rsidRPr="005677BA">
              <w:rPr>
                <w:rFonts w:ascii="Times New Roman" w:eastAsia="Calibri" w:hAnsi="Times New Roman" w:cs="Times New Roman"/>
                <w:sz w:val="26"/>
                <w:szCs w:val="26"/>
                <w:lang w:val="uk-UA"/>
              </w:rPr>
              <w:t xml:space="preserve"> та передачі РАВ на захоронення здійснюється із Державного бюджету України. </w:t>
            </w:r>
          </w:p>
          <w:p w:rsidR="005677BA" w:rsidRPr="005677BA" w:rsidRDefault="005677BA" w:rsidP="005677BA">
            <w:pPr>
              <w:tabs>
                <w:tab w:val="left" w:pos="720"/>
              </w:tabs>
              <w:ind w:firstLine="567"/>
              <w:jc w:val="both"/>
              <w:rPr>
                <w:rFonts w:ascii="Times New Roman" w:eastAsia="Calibri" w:hAnsi="Times New Roman" w:cs="Times New Roman"/>
                <w:sz w:val="26"/>
                <w:szCs w:val="26"/>
                <w:lang w:val="uk-UA"/>
              </w:rPr>
            </w:pPr>
            <w:r w:rsidRPr="005677BA">
              <w:rPr>
                <w:rFonts w:ascii="Times New Roman" w:eastAsia="Calibri" w:hAnsi="Times New Roman" w:cs="Times New Roman"/>
                <w:sz w:val="26"/>
                <w:szCs w:val="26"/>
                <w:lang w:val="uk-UA"/>
              </w:rPr>
              <w:t>Законом України «Про поводження з радіоактивними відходами», зі змінами, внесеними у 2010 році визначено, що фінансування робіт щодо поводження з РАВ, які утворилися внаслідок Чорнобильської катастрофи, здійснюється за рахунок Державного фонду поводження з РАВ.</w:t>
            </w:r>
          </w:p>
          <w:p w:rsidR="005677BA" w:rsidRPr="005677BA" w:rsidRDefault="005677BA" w:rsidP="005677BA">
            <w:pPr>
              <w:ind w:firstLine="567"/>
              <w:jc w:val="both"/>
              <w:rPr>
                <w:rFonts w:ascii="Times New Roman" w:eastAsia="Calibri" w:hAnsi="Times New Roman" w:cs="Times New Roman"/>
                <w:sz w:val="26"/>
                <w:szCs w:val="26"/>
                <w:lang w:val="uk-UA"/>
              </w:rPr>
            </w:pPr>
          </w:p>
          <w:p w:rsidR="005677BA" w:rsidRPr="00F652E8" w:rsidRDefault="005677BA" w:rsidP="005677BA">
            <w:pPr>
              <w:ind w:firstLine="567"/>
              <w:jc w:val="both"/>
              <w:rPr>
                <w:rFonts w:ascii="Times New Roman" w:eastAsia="Calibri" w:hAnsi="Times New Roman" w:cs="Times New Roman"/>
                <w:sz w:val="26"/>
                <w:szCs w:val="26"/>
                <w:u w:val="single"/>
                <w:lang w:val="uk-UA"/>
              </w:rPr>
            </w:pPr>
            <w:r w:rsidRPr="005677BA">
              <w:rPr>
                <w:rFonts w:ascii="Times New Roman" w:eastAsia="Calibri" w:hAnsi="Times New Roman" w:cs="Times New Roman"/>
                <w:sz w:val="26"/>
                <w:szCs w:val="26"/>
                <w:lang w:val="uk-UA"/>
              </w:rPr>
              <w:t xml:space="preserve">4. </w:t>
            </w:r>
            <w:r w:rsidRPr="00F652E8">
              <w:rPr>
                <w:rFonts w:ascii="Times New Roman" w:eastAsia="Calibri" w:hAnsi="Times New Roman" w:cs="Times New Roman"/>
                <w:sz w:val="26"/>
                <w:szCs w:val="26"/>
                <w:u w:val="single"/>
                <w:lang w:val="uk-UA"/>
              </w:rPr>
              <w:t>Щодо обсягів РАВ чорнобильського походження.</w:t>
            </w:r>
          </w:p>
          <w:p w:rsidR="005677BA" w:rsidRPr="005677BA" w:rsidRDefault="005677BA" w:rsidP="005677BA">
            <w:pPr>
              <w:ind w:firstLine="567"/>
              <w:jc w:val="both"/>
              <w:rPr>
                <w:rFonts w:ascii="Times New Roman" w:eastAsia="Calibri" w:hAnsi="Times New Roman" w:cs="Times New Roman"/>
                <w:sz w:val="26"/>
                <w:szCs w:val="26"/>
                <w:lang w:val="uk-UA"/>
              </w:rPr>
            </w:pPr>
            <w:r w:rsidRPr="005677BA">
              <w:rPr>
                <w:rFonts w:ascii="Times New Roman" w:eastAsia="Calibri" w:hAnsi="Times New Roman" w:cs="Times New Roman"/>
                <w:sz w:val="26"/>
                <w:szCs w:val="26"/>
                <w:lang w:val="uk-UA"/>
              </w:rPr>
              <w:t>Відповідно до Закону України «Про поводження з радіоактивними відходами» в Україні ведеться Державний облік радіоактивних відходів, який включає:</w:t>
            </w:r>
          </w:p>
          <w:p w:rsidR="005677BA" w:rsidRPr="005677BA" w:rsidRDefault="005677BA" w:rsidP="005677BA">
            <w:pPr>
              <w:pStyle w:val="rvps2"/>
              <w:shd w:val="clear" w:color="auto" w:fill="FFFFFF"/>
              <w:spacing w:before="0" w:beforeAutospacing="0" w:after="0" w:afterAutospacing="0"/>
              <w:ind w:firstLine="567"/>
              <w:jc w:val="both"/>
              <w:rPr>
                <w:rFonts w:eastAsia="Calibri"/>
                <w:sz w:val="26"/>
                <w:szCs w:val="26"/>
                <w:lang w:val="uk-UA" w:eastAsia="en-US"/>
              </w:rPr>
            </w:pPr>
            <w:bookmarkStart w:id="1" w:name="n177"/>
            <w:bookmarkEnd w:id="1"/>
            <w:r w:rsidRPr="005677BA">
              <w:rPr>
                <w:rFonts w:eastAsia="Calibri"/>
                <w:sz w:val="26"/>
                <w:szCs w:val="26"/>
                <w:lang w:val="uk-UA" w:eastAsia="en-US"/>
              </w:rPr>
              <w:t>ведення Державного реєстру радіоактивних відходів;</w:t>
            </w:r>
          </w:p>
          <w:p w:rsidR="005677BA" w:rsidRPr="005677BA" w:rsidRDefault="005677BA" w:rsidP="005677BA">
            <w:pPr>
              <w:pStyle w:val="rvps2"/>
              <w:shd w:val="clear" w:color="auto" w:fill="FFFFFF"/>
              <w:spacing w:before="0" w:beforeAutospacing="0" w:after="0" w:afterAutospacing="0"/>
              <w:ind w:firstLine="567"/>
              <w:jc w:val="both"/>
              <w:rPr>
                <w:rFonts w:eastAsia="Calibri"/>
                <w:sz w:val="26"/>
                <w:szCs w:val="26"/>
                <w:lang w:val="uk-UA" w:eastAsia="en-US"/>
              </w:rPr>
            </w:pPr>
            <w:bookmarkStart w:id="2" w:name="n178"/>
            <w:bookmarkEnd w:id="2"/>
            <w:r w:rsidRPr="005677BA">
              <w:rPr>
                <w:rFonts w:eastAsia="Calibri"/>
                <w:sz w:val="26"/>
                <w:szCs w:val="26"/>
                <w:lang w:val="uk-UA" w:eastAsia="en-US"/>
              </w:rPr>
              <w:t>ведення Державного кадастру сховищ радіоактивних відходів та переліку місць тимчасового зберігання радіоактивних відходів.</w:t>
            </w:r>
          </w:p>
          <w:p w:rsidR="005677BA" w:rsidRPr="005677BA" w:rsidRDefault="005677BA" w:rsidP="005677BA">
            <w:pPr>
              <w:pStyle w:val="rvps2"/>
              <w:shd w:val="clear" w:color="auto" w:fill="FFFFFF"/>
              <w:spacing w:before="0" w:beforeAutospacing="0" w:after="0" w:afterAutospacing="0"/>
              <w:ind w:firstLine="567"/>
              <w:jc w:val="both"/>
              <w:rPr>
                <w:rFonts w:eastAsia="Calibri"/>
                <w:sz w:val="26"/>
                <w:szCs w:val="26"/>
                <w:lang w:val="uk-UA" w:eastAsia="en-US"/>
              </w:rPr>
            </w:pPr>
            <w:bookmarkStart w:id="3" w:name="n179"/>
            <w:bookmarkEnd w:id="3"/>
            <w:r w:rsidRPr="005677BA">
              <w:rPr>
                <w:rFonts w:eastAsia="Calibri"/>
                <w:sz w:val="26"/>
                <w:szCs w:val="26"/>
                <w:lang w:val="uk-UA" w:eastAsia="en-US"/>
              </w:rPr>
              <w:lastRenderedPageBreak/>
              <w:t>Для забезпечення постійного поновлення та своєчасного внесення змін до Державного реєстру радіоактивних відходів та Державного кадастру сховищ радіоактивних відходів здійснюються регулярні державні інвентаризації радіоактивних відходів і сховищ радіоактивних відходів, включаючи сховища для зберігання радіоактивних відходів на території виробників цих відходів.</w:t>
            </w:r>
          </w:p>
          <w:p w:rsidR="005677BA" w:rsidRPr="005677BA" w:rsidRDefault="005677BA" w:rsidP="005677BA">
            <w:pPr>
              <w:pStyle w:val="rvps2"/>
              <w:shd w:val="clear" w:color="auto" w:fill="FFFFFF"/>
              <w:spacing w:before="0" w:beforeAutospacing="0" w:after="0" w:afterAutospacing="0"/>
              <w:ind w:firstLine="450"/>
              <w:jc w:val="both"/>
              <w:rPr>
                <w:rFonts w:eastAsia="Calibri"/>
                <w:sz w:val="26"/>
                <w:szCs w:val="26"/>
                <w:lang w:val="uk-UA" w:eastAsia="en-US"/>
              </w:rPr>
            </w:pPr>
            <w:bookmarkStart w:id="4" w:name="n24"/>
            <w:bookmarkEnd w:id="4"/>
            <w:r w:rsidRPr="005677BA">
              <w:rPr>
                <w:rFonts w:eastAsia="Calibri"/>
                <w:sz w:val="26"/>
                <w:szCs w:val="26"/>
                <w:lang w:val="uk-UA" w:eastAsia="en-US"/>
              </w:rPr>
              <w:t>Державна інвентаризація РАВ проводиться на всіх підприємствах, установах і організаціях, у результаті діяльності яких утворюються РАВ, або що здійснюють діяльність щодо переробки, зберігання та захоронення РАВ.</w:t>
            </w:r>
          </w:p>
          <w:p w:rsidR="005677BA" w:rsidRPr="005677BA" w:rsidRDefault="005677BA" w:rsidP="005677BA">
            <w:pPr>
              <w:pStyle w:val="rvps2"/>
              <w:shd w:val="clear" w:color="auto" w:fill="FFFFFF"/>
              <w:spacing w:before="0" w:beforeAutospacing="0" w:after="0" w:afterAutospacing="0"/>
              <w:ind w:firstLine="450"/>
              <w:jc w:val="both"/>
              <w:rPr>
                <w:rFonts w:eastAsia="Calibri"/>
                <w:sz w:val="26"/>
                <w:szCs w:val="26"/>
                <w:lang w:val="uk-UA" w:eastAsia="en-US"/>
              </w:rPr>
            </w:pPr>
            <w:bookmarkStart w:id="5" w:name="n25"/>
            <w:bookmarkEnd w:id="5"/>
            <w:r w:rsidRPr="005677BA">
              <w:rPr>
                <w:rFonts w:eastAsia="Calibri"/>
                <w:sz w:val="26"/>
                <w:szCs w:val="26"/>
                <w:lang w:val="uk-UA" w:eastAsia="en-US"/>
              </w:rPr>
              <w:t>Державній інвентаризації РАВ підлягають:</w:t>
            </w:r>
          </w:p>
          <w:p w:rsidR="005677BA" w:rsidRPr="005677BA" w:rsidRDefault="005677BA" w:rsidP="005677BA">
            <w:pPr>
              <w:pStyle w:val="rvps2"/>
              <w:shd w:val="clear" w:color="auto" w:fill="FFFFFF"/>
              <w:spacing w:before="0" w:beforeAutospacing="0" w:after="0" w:afterAutospacing="0"/>
              <w:ind w:firstLine="450"/>
              <w:jc w:val="both"/>
              <w:rPr>
                <w:rFonts w:eastAsia="Calibri"/>
                <w:sz w:val="26"/>
                <w:szCs w:val="26"/>
                <w:lang w:val="uk-UA" w:eastAsia="en-US"/>
              </w:rPr>
            </w:pPr>
            <w:bookmarkStart w:id="6" w:name="n26"/>
            <w:bookmarkEnd w:id="6"/>
            <w:r w:rsidRPr="005677BA">
              <w:rPr>
                <w:rFonts w:eastAsia="Calibri"/>
                <w:sz w:val="26"/>
                <w:szCs w:val="26"/>
                <w:lang w:val="uk-UA" w:eastAsia="en-US"/>
              </w:rPr>
              <w:t>РАВ (тверді та рідкі), що утворюються в ядерному паливному циклі в результаті експлуатації та зняття з експлуатації ядерних установок;</w:t>
            </w:r>
          </w:p>
          <w:p w:rsidR="005677BA" w:rsidRPr="005677BA" w:rsidRDefault="005677BA" w:rsidP="005677BA">
            <w:pPr>
              <w:pStyle w:val="rvps2"/>
              <w:shd w:val="clear" w:color="auto" w:fill="FFFFFF"/>
              <w:spacing w:before="0" w:beforeAutospacing="0" w:after="0" w:afterAutospacing="0"/>
              <w:ind w:firstLine="450"/>
              <w:jc w:val="both"/>
              <w:rPr>
                <w:rFonts w:eastAsia="Calibri"/>
                <w:sz w:val="26"/>
                <w:szCs w:val="26"/>
                <w:lang w:val="uk-UA" w:eastAsia="en-US"/>
              </w:rPr>
            </w:pPr>
            <w:bookmarkStart w:id="7" w:name="n27"/>
            <w:bookmarkEnd w:id="7"/>
            <w:r w:rsidRPr="005677BA">
              <w:rPr>
                <w:rFonts w:eastAsia="Calibri"/>
                <w:sz w:val="26"/>
                <w:szCs w:val="26"/>
                <w:lang w:val="uk-UA" w:eastAsia="en-US"/>
              </w:rPr>
              <w:t>РАВ (тверді та рідкі), що утворюються в результаті використання у промисловості, сільському господарстві, медицині, освіті і наукових дослідженнях джерел іонізуючого випромінювання.</w:t>
            </w:r>
          </w:p>
          <w:p w:rsidR="005677BA" w:rsidRPr="005677BA" w:rsidRDefault="005677BA" w:rsidP="005677BA">
            <w:pPr>
              <w:pStyle w:val="rvps2"/>
              <w:shd w:val="clear" w:color="auto" w:fill="FFFFFF"/>
              <w:spacing w:before="0" w:beforeAutospacing="0" w:after="0" w:afterAutospacing="0"/>
              <w:ind w:firstLine="450"/>
              <w:jc w:val="both"/>
              <w:rPr>
                <w:rFonts w:eastAsia="Calibri"/>
                <w:sz w:val="26"/>
                <w:szCs w:val="26"/>
                <w:lang w:val="uk-UA" w:eastAsia="en-US"/>
              </w:rPr>
            </w:pPr>
            <w:bookmarkStart w:id="8" w:name="n28"/>
            <w:bookmarkEnd w:id="8"/>
            <w:r w:rsidRPr="005677BA">
              <w:rPr>
                <w:rFonts w:eastAsia="Calibri"/>
                <w:sz w:val="26"/>
                <w:szCs w:val="26"/>
                <w:lang w:val="uk-UA" w:eastAsia="en-US"/>
              </w:rPr>
              <w:t>Державна інвентаризація РАВ проводиться в місцях їх утворення, зберігання та захоронення.</w:t>
            </w:r>
          </w:p>
          <w:p w:rsidR="005677BA" w:rsidRPr="005677BA" w:rsidRDefault="005677BA" w:rsidP="005677BA">
            <w:pPr>
              <w:pStyle w:val="rvps2"/>
              <w:shd w:val="clear" w:color="auto" w:fill="FFFFFF"/>
              <w:spacing w:before="0" w:beforeAutospacing="0" w:after="0" w:afterAutospacing="0"/>
              <w:ind w:firstLine="450"/>
              <w:jc w:val="both"/>
              <w:rPr>
                <w:rFonts w:eastAsia="Calibri"/>
                <w:sz w:val="26"/>
                <w:szCs w:val="26"/>
                <w:lang w:val="uk-UA" w:eastAsia="en-US"/>
              </w:rPr>
            </w:pPr>
            <w:bookmarkStart w:id="9" w:name="n29"/>
            <w:bookmarkStart w:id="10" w:name="n30"/>
            <w:bookmarkEnd w:id="9"/>
            <w:bookmarkEnd w:id="10"/>
            <w:r w:rsidRPr="005677BA">
              <w:rPr>
                <w:rFonts w:eastAsia="Calibri"/>
                <w:sz w:val="26"/>
                <w:szCs w:val="26"/>
                <w:lang w:val="uk-UA" w:eastAsia="en-US"/>
              </w:rPr>
              <w:t>Державна інвентаризація РАВ здійснюється один раз на три роки. Конкретні строки проведення інвентаризацій визначає орган державного управління у сфері поводження з радіоактивними відходами - Державне агентство України з управління зоною відчуження (далі - ДАЗВ), яке здійснює загальну організацію проведення державної інвентаризації РАВ на всіх підприємствах, в організаціях і установах України. Сьома державна інвентаризація РАВ проведена у 2019 році.</w:t>
            </w:r>
          </w:p>
          <w:p w:rsidR="005677BA" w:rsidRDefault="005677BA" w:rsidP="005677BA">
            <w:pPr>
              <w:ind w:firstLine="567"/>
              <w:jc w:val="both"/>
              <w:rPr>
                <w:rFonts w:ascii="Times New Roman" w:eastAsia="Calibri" w:hAnsi="Times New Roman" w:cs="Times New Roman"/>
                <w:sz w:val="26"/>
                <w:szCs w:val="26"/>
                <w:lang w:val="uk-UA"/>
              </w:rPr>
            </w:pPr>
            <w:r w:rsidRPr="005677BA">
              <w:rPr>
                <w:rFonts w:ascii="Times New Roman" w:eastAsia="Calibri" w:hAnsi="Times New Roman" w:cs="Times New Roman"/>
                <w:sz w:val="26"/>
                <w:szCs w:val="26"/>
                <w:lang w:val="uk-UA"/>
              </w:rPr>
              <w:t>Функції  ведення Державних реєстру та кадастру покладені на ДСП «Об’єднання «Радон», у складі якого діють Головний інформаційно-аналітичний центр державної системи обліку РАВ та Регіональні центри обліку РАВ.</w:t>
            </w:r>
          </w:p>
          <w:p w:rsidR="005677BA" w:rsidRPr="005677BA" w:rsidRDefault="005677BA" w:rsidP="008F673F">
            <w:pPr>
              <w:jc w:val="both"/>
              <w:rPr>
                <w:rFonts w:ascii="Times New Roman" w:eastAsia="Calibri" w:hAnsi="Times New Roman" w:cs="Times New Roman"/>
                <w:sz w:val="26"/>
                <w:szCs w:val="26"/>
                <w:lang w:val="uk-UA"/>
              </w:rPr>
            </w:pPr>
          </w:p>
        </w:tc>
      </w:tr>
    </w:tbl>
    <w:p w:rsidR="001D015B" w:rsidRPr="001D015B" w:rsidRDefault="001D015B" w:rsidP="001D015B">
      <w:pPr>
        <w:spacing w:after="0"/>
        <w:jc w:val="center"/>
        <w:rPr>
          <w:rFonts w:ascii="Times New Roman" w:hAnsi="Times New Roman" w:cs="Times New Roman"/>
          <w:b/>
          <w:sz w:val="26"/>
          <w:szCs w:val="26"/>
          <w:lang w:val="uk-UA"/>
        </w:rPr>
      </w:pPr>
    </w:p>
    <w:sectPr w:rsidR="001D015B" w:rsidRPr="001D015B" w:rsidSect="00A432E3">
      <w:headerReference w:type="first" r:id="rId8"/>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F15" w:rsidRDefault="00274F15" w:rsidP="001D015B">
      <w:pPr>
        <w:spacing w:after="0" w:line="240" w:lineRule="auto"/>
      </w:pPr>
      <w:r>
        <w:separator/>
      </w:r>
    </w:p>
  </w:endnote>
  <w:endnote w:type="continuationSeparator" w:id="0">
    <w:p w:rsidR="00274F15" w:rsidRDefault="00274F15" w:rsidP="001D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F15" w:rsidRDefault="00274F15" w:rsidP="001D015B">
      <w:pPr>
        <w:spacing w:after="0" w:line="240" w:lineRule="auto"/>
      </w:pPr>
      <w:r>
        <w:separator/>
      </w:r>
    </w:p>
  </w:footnote>
  <w:footnote w:type="continuationSeparator" w:id="0">
    <w:p w:rsidR="00274F15" w:rsidRDefault="00274F15" w:rsidP="001D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15B" w:rsidRPr="001D015B" w:rsidRDefault="001D015B" w:rsidP="001D015B">
    <w:pPr>
      <w:pStyle w:val="a3"/>
      <w:jc w:val="right"/>
      <w:rPr>
        <w:rFonts w:ascii="Times New Roman" w:hAnsi="Times New Roman" w:cs="Times New Roman"/>
        <w:lang w:val="uk-UA"/>
      </w:rPr>
    </w:pPr>
    <w:r w:rsidRPr="001D015B">
      <w:rPr>
        <w:rFonts w:ascii="Times New Roman" w:hAnsi="Times New Roman" w:cs="Times New Roman"/>
        <w:lang w:val="uk-UA"/>
      </w:rPr>
      <w:t>Додаток 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D49"/>
    <w:multiLevelType w:val="hybridMultilevel"/>
    <w:tmpl w:val="097C17E0"/>
    <w:lvl w:ilvl="0" w:tplc="1CCAC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7ECC31F4"/>
    <w:multiLevelType w:val="hybridMultilevel"/>
    <w:tmpl w:val="C65424D8"/>
    <w:lvl w:ilvl="0" w:tplc="B974203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E6"/>
    <w:rsid w:val="00113E55"/>
    <w:rsid w:val="001D015B"/>
    <w:rsid w:val="00274F15"/>
    <w:rsid w:val="005677BA"/>
    <w:rsid w:val="00713FE6"/>
    <w:rsid w:val="007150E5"/>
    <w:rsid w:val="007205B4"/>
    <w:rsid w:val="00821A12"/>
    <w:rsid w:val="00833A52"/>
    <w:rsid w:val="008F673F"/>
    <w:rsid w:val="00994576"/>
    <w:rsid w:val="009B07E4"/>
    <w:rsid w:val="00A432E3"/>
    <w:rsid w:val="00A56DE0"/>
    <w:rsid w:val="00B01647"/>
    <w:rsid w:val="00C40953"/>
    <w:rsid w:val="00C42B27"/>
    <w:rsid w:val="00D7623F"/>
    <w:rsid w:val="00D8032F"/>
    <w:rsid w:val="00D93A63"/>
    <w:rsid w:val="00F6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5BF9"/>
  <w15:chartTrackingRefBased/>
  <w15:docId w15:val="{E31C03DE-E409-4F58-B1F9-A7180C93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1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15B"/>
  </w:style>
  <w:style w:type="paragraph" w:styleId="a5">
    <w:name w:val="footer"/>
    <w:basedOn w:val="a"/>
    <w:link w:val="a6"/>
    <w:uiPriority w:val="99"/>
    <w:unhideWhenUsed/>
    <w:rsid w:val="001D01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15B"/>
  </w:style>
  <w:style w:type="table" w:styleId="a7">
    <w:name w:val="Table Grid"/>
    <w:basedOn w:val="a1"/>
    <w:uiPriority w:val="39"/>
    <w:rsid w:val="001D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DE0"/>
    <w:pPr>
      <w:ind w:left="720"/>
      <w:contextualSpacing/>
    </w:pPr>
  </w:style>
  <w:style w:type="character" w:styleId="a9">
    <w:name w:val="Hyperlink"/>
    <w:basedOn w:val="a0"/>
    <w:uiPriority w:val="99"/>
    <w:unhideWhenUsed/>
    <w:rsid w:val="00D93A63"/>
    <w:rPr>
      <w:color w:val="0563C1" w:themeColor="hyperlink"/>
      <w:u w:val="single"/>
    </w:rPr>
  </w:style>
  <w:style w:type="paragraph" w:styleId="aa">
    <w:name w:val="Balloon Text"/>
    <w:basedOn w:val="a"/>
    <w:link w:val="ab"/>
    <w:uiPriority w:val="99"/>
    <w:semiHidden/>
    <w:unhideWhenUsed/>
    <w:rsid w:val="00A432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32E3"/>
    <w:rPr>
      <w:rFonts w:ascii="Segoe UI" w:hAnsi="Segoe UI" w:cs="Segoe UI"/>
      <w:sz w:val="18"/>
      <w:szCs w:val="18"/>
    </w:rPr>
  </w:style>
  <w:style w:type="paragraph" w:styleId="ac">
    <w:name w:val="Body Text"/>
    <w:basedOn w:val="a"/>
    <w:link w:val="ad"/>
    <w:rsid w:val="005677BA"/>
    <w:pPr>
      <w:spacing w:after="0" w:line="240" w:lineRule="auto"/>
      <w:jc w:val="both"/>
    </w:pPr>
    <w:rPr>
      <w:rFonts w:ascii="Times New Roman" w:eastAsia="Times New Roman" w:hAnsi="Times New Roman" w:cs="Times New Roman"/>
      <w:sz w:val="26"/>
      <w:szCs w:val="20"/>
      <w:lang w:val="uk-UA" w:eastAsia="ru-RU"/>
    </w:rPr>
  </w:style>
  <w:style w:type="character" w:customStyle="1" w:styleId="ad">
    <w:name w:val="Основной текст Знак"/>
    <w:basedOn w:val="a0"/>
    <w:link w:val="ac"/>
    <w:rsid w:val="005677BA"/>
    <w:rPr>
      <w:rFonts w:ascii="Times New Roman" w:eastAsia="Times New Roman" w:hAnsi="Times New Roman" w:cs="Times New Roman"/>
      <w:sz w:val="26"/>
      <w:szCs w:val="20"/>
      <w:lang w:val="uk-UA" w:eastAsia="ru-RU"/>
    </w:rPr>
  </w:style>
  <w:style w:type="paragraph" w:styleId="ae">
    <w:name w:val="No Spacing"/>
    <w:uiPriority w:val="99"/>
    <w:qFormat/>
    <w:rsid w:val="005677BA"/>
    <w:pPr>
      <w:spacing w:after="0" w:line="240" w:lineRule="auto"/>
    </w:pPr>
    <w:rPr>
      <w:rFonts w:ascii="Times New Roman" w:eastAsia="Times New Roman" w:hAnsi="Times New Roman" w:cs="Times New Roman"/>
      <w:sz w:val="26"/>
      <w:szCs w:val="24"/>
      <w:lang w:val="uk-UA" w:eastAsia="ru-RU"/>
    </w:rPr>
  </w:style>
  <w:style w:type="paragraph" w:styleId="af">
    <w:name w:val="Plain Text"/>
    <w:basedOn w:val="a"/>
    <w:link w:val="af0"/>
    <w:uiPriority w:val="99"/>
    <w:rsid w:val="005677BA"/>
    <w:pPr>
      <w:spacing w:after="0" w:line="240" w:lineRule="auto"/>
    </w:pPr>
    <w:rPr>
      <w:rFonts w:ascii="Courier New" w:eastAsia="Calibri" w:hAnsi="Courier New" w:cs="Times New Roman"/>
      <w:sz w:val="20"/>
      <w:szCs w:val="20"/>
      <w:lang w:val="uk-UA" w:eastAsia="ru-RU"/>
    </w:rPr>
  </w:style>
  <w:style w:type="character" w:customStyle="1" w:styleId="af0">
    <w:name w:val="Текст Знак"/>
    <w:basedOn w:val="a0"/>
    <w:link w:val="af"/>
    <w:uiPriority w:val="99"/>
    <w:rsid w:val="005677BA"/>
    <w:rPr>
      <w:rFonts w:ascii="Courier New" w:eastAsia="Calibri" w:hAnsi="Courier New" w:cs="Times New Roman"/>
      <w:sz w:val="20"/>
      <w:szCs w:val="20"/>
      <w:lang w:val="uk-UA" w:eastAsia="ru-RU"/>
    </w:rPr>
  </w:style>
  <w:style w:type="paragraph" w:customStyle="1" w:styleId="rvps2">
    <w:name w:val="rvps2"/>
    <w:basedOn w:val="a"/>
    <w:rsid w:val="005677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1B0B-25D2-425A-9925-E1AB0AFC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5529</Words>
  <Characters>3152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Гаврюк Анна Юріївна</dc:creator>
  <cp:keywords/>
  <dc:description/>
  <cp:lastModifiedBy>Княжницька Тетяна Вікторівна</cp:lastModifiedBy>
  <cp:revision>3</cp:revision>
  <cp:lastPrinted>2020-12-29T08:22:00Z</cp:lastPrinted>
  <dcterms:created xsi:type="dcterms:W3CDTF">2020-12-29T10:06:00Z</dcterms:created>
  <dcterms:modified xsi:type="dcterms:W3CDTF">2020-12-29T12:11:00Z</dcterms:modified>
</cp:coreProperties>
</file>