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A5BD" w14:textId="77777777" w:rsidR="002F2C18" w:rsidRPr="00324070" w:rsidRDefault="002F2C18" w:rsidP="003240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12C1C86" w14:textId="77777777" w:rsidR="002F2C18" w:rsidRPr="000E0F50" w:rsidRDefault="002F2C18" w:rsidP="0043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E0F50">
        <w:rPr>
          <w:rFonts w:ascii="Times New Roman" w:hAnsi="Times New Roman"/>
          <w:b/>
          <w:sz w:val="28"/>
          <w:szCs w:val="20"/>
          <w:lang w:val="uk-UA" w:eastAsia="ru-RU"/>
        </w:rPr>
        <w:t>ПОЯСНЮВАЛЬНА ЗАПИСКА</w:t>
      </w:r>
    </w:p>
    <w:p w14:paraId="744F2ADA" w14:textId="77777777" w:rsidR="002F2C18" w:rsidRPr="000E0F50" w:rsidRDefault="002F2C18" w:rsidP="000E0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E0F50"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proofErr w:type="spellStart"/>
      <w:r w:rsidRPr="000E0F50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є</w:t>
      </w:r>
      <w:r w:rsidRPr="000E0F50">
        <w:rPr>
          <w:rFonts w:ascii="Times New Roman" w:hAnsi="Times New Roman"/>
          <w:b/>
          <w:sz w:val="28"/>
          <w:szCs w:val="28"/>
          <w:lang w:val="uk-UA" w:eastAsia="ru-RU"/>
        </w:rPr>
        <w:t>кту</w:t>
      </w:r>
      <w:proofErr w:type="spellEnd"/>
      <w:r w:rsidRPr="000E0F50">
        <w:rPr>
          <w:rFonts w:ascii="Times New Roman" w:hAnsi="Times New Roman"/>
          <w:b/>
          <w:sz w:val="28"/>
          <w:szCs w:val="28"/>
          <w:lang w:val="uk-UA" w:eastAsia="ru-RU"/>
        </w:rPr>
        <w:t xml:space="preserve"> постанови Кабінету Міністрів України </w:t>
      </w:r>
    </w:p>
    <w:p w14:paraId="1C2BD5CC" w14:textId="77777777" w:rsidR="002F2C18" w:rsidRPr="00C32C12" w:rsidRDefault="002F2C18" w:rsidP="000E0F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C32C12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C32C1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Про деякі питання </w:t>
      </w:r>
      <w:r w:rsidRPr="00C32C12">
        <w:rPr>
          <w:rFonts w:ascii="Times New Roman" w:hAnsi="Times New Roman"/>
          <w:b/>
          <w:sz w:val="28"/>
          <w:szCs w:val="28"/>
          <w:lang w:val="uk-UA"/>
        </w:rPr>
        <w:t>створення єдиної державної системи контролю та обліку індивідуальних доз опромінення</w:t>
      </w:r>
      <w:r w:rsidRPr="00C32C12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14:paraId="58B5BC77" w14:textId="77777777" w:rsidR="002F2C18" w:rsidRPr="000E0F50" w:rsidRDefault="002F2C18" w:rsidP="00A50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E0F50">
        <w:rPr>
          <w:rFonts w:ascii="Times New Roman" w:hAnsi="Times New Roman"/>
          <w:sz w:val="24"/>
          <w:szCs w:val="24"/>
          <w:lang w:val="uk-UA" w:eastAsia="ru-RU"/>
        </w:rPr>
        <w:t> </w:t>
      </w:r>
    </w:p>
    <w:p w14:paraId="4F0BF466" w14:textId="77777777" w:rsidR="002F2C18" w:rsidRPr="00F73FF2" w:rsidRDefault="002F2C18" w:rsidP="003375D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F73FF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1. Резюме </w:t>
      </w:r>
    </w:p>
    <w:p w14:paraId="18ABDEB9" w14:textId="77777777" w:rsidR="002F2C18" w:rsidRPr="00F73FF2" w:rsidRDefault="002F2C18" w:rsidP="00F73FF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Метою прийняття акту є підвищення рівня радіаційної безпеки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під час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використання ядерної енергії, встановлення державного нагляду </w:t>
      </w:r>
      <w:r w:rsidRPr="00F73FF2">
        <w:rPr>
          <w:rFonts w:ascii="Times New Roman" w:hAnsi="Times New Roman"/>
          <w:color w:val="000000"/>
          <w:sz w:val="28"/>
          <w:szCs w:val="28"/>
          <w:lang w:val="uk-UA"/>
        </w:rPr>
        <w:t>за не перевищенням встановлених основних лімітів доз, граничних доз та референтних рівнів опромінення персоналу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F73FF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залучених працівників в ситуаціях планового, існуючого та аварійного опромінення,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87DCC">
        <w:rPr>
          <w:rFonts w:ascii="Times New Roman" w:hAnsi="Times New Roman"/>
          <w:color w:val="000000"/>
          <w:sz w:val="28"/>
          <w:szCs w:val="28"/>
          <w:lang w:val="uk-UA" w:eastAsia="ru-RU"/>
        </w:rPr>
        <w:t>впровадження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87DC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ефективних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заходів зі зниження можливих радіаційних ризиків.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14:paraId="148C27BE" w14:textId="77777777" w:rsidR="002F2C18" w:rsidRPr="00F73FF2" w:rsidRDefault="002F2C18" w:rsidP="00E810A4">
      <w:pPr>
        <w:tabs>
          <w:tab w:val="num" w:pos="144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14:paraId="5FDD50E7" w14:textId="77777777" w:rsidR="002F2C18" w:rsidRPr="00F73FF2" w:rsidRDefault="002F2C18" w:rsidP="00E810A4">
      <w:pPr>
        <w:tabs>
          <w:tab w:val="num" w:pos="144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F73FF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2. Проблема, яка потребує вирішення </w:t>
      </w:r>
    </w:p>
    <w:p w14:paraId="4875A68D" w14:textId="77777777" w:rsidR="002F2C18" w:rsidRPr="00F73FF2" w:rsidRDefault="002F2C18" w:rsidP="00FA022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0" w:name="n1707"/>
      <w:bookmarkEnd w:id="0"/>
      <w:r w:rsidRPr="00F73FF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З 2015 року змінилася 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міжнародна система радіаційного захисту. Усі країни, у тому числі й Україна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розпочали прив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ення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сво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законодавств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інфраструктур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відповідність до нових міжнародних та європейських норм радіаційної безпеки. </w:t>
      </w:r>
    </w:p>
    <w:p w14:paraId="648359FE" w14:textId="77777777" w:rsidR="002F2C18" w:rsidRPr="00F73FF2" w:rsidRDefault="002F2C18" w:rsidP="00FA022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є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розроблено з урахуванням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статті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41-44, 51 та Додат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Х Директиви Ради 2013/59/Євратом, що</w:t>
      </w:r>
      <w:r w:rsidRPr="00F73FF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встановлює норми безпеки для захисту від загроз, зумовлених впливом іонізуючого випромінювання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,  та пунктів 19-25 Міжнародного стандарту безпеки «Радіаційний захист та безпека радіаційних джерел» (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Radiation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Protection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and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Safety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of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Radiation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Sources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International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Basic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Safety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Standards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,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GSR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Part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3, 2014) та стандарту МАГАТЕ «Професійний радіаційний захист», </w:t>
      </w:r>
      <w:r w:rsidRPr="00F73FF2">
        <w:rPr>
          <w:rFonts w:ascii="Times New Roman" w:hAnsi="Times New Roman"/>
          <w:color w:val="000000"/>
          <w:sz w:val="28"/>
          <w:szCs w:val="28"/>
          <w:lang w:val="en-US" w:eastAsia="ru-RU"/>
        </w:rPr>
        <w:t>GSG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-7, 2018.</w:t>
      </w:r>
    </w:p>
    <w:p w14:paraId="1E205F42" w14:textId="77777777" w:rsidR="002F2C18" w:rsidRDefault="002F2C18" w:rsidP="00987D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 сьогодні відповідальність за забезпеченням контролю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професійного опромінення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здійснення радіаційного моніторингу робочих місць, складання переліку осіб,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які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підлягають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проведенню 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індивідуально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дозиметрично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контролю (далі – ІДК), збереження даних про ІДК працівників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чинного законодавства 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відноситься до компетенції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суб’єктів діяльності у сфері використання ядерної енергії, що не звільнена від регулюючого контролю</w:t>
      </w:r>
      <w:r w:rsidRPr="00ED391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Інші організації, установи, що здійснюють індивідуальний дозиметричний контроль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можуть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надавати консультації, здійснювати технічний та методичний супрові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при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вимірюванні або визначенні індивідуальних доз професійного опромінення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тобто фактично виконувати роль організацій з технічної підтримки проведення ІДК.</w:t>
      </w:r>
    </w:p>
    <w:p w14:paraId="5AF335BA" w14:textId="77777777" w:rsidR="002F2C18" w:rsidRDefault="002F2C18" w:rsidP="00987DCC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Регістр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доз професійного опромінення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вимог Директиви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Ради 2013/59/Євратом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має також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охоплювати облік доз опромінення працівників на ви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робництвах з природним вмістом 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радіонуклідів, опромінення екіпажів літаків, осіб, які тимчасово залучаються до робіт в зоні дії іонізуючого випромінювання (працівники вугільних, залізорудних та уранових шахт, державні інспектори та інші).</w:t>
      </w:r>
    </w:p>
    <w:p w14:paraId="3F60F6BD" w14:textId="77777777" w:rsidR="002F2C18" w:rsidRPr="00F73FF2" w:rsidRDefault="002F2C18" w:rsidP="0080165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F73FF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Чинні на сьогодні постанови Кабінету Міністрів України </w:t>
      </w:r>
      <w:r w:rsidRPr="00F73FF2">
        <w:rPr>
          <w:rFonts w:ascii="Times New Roman" w:hAnsi="Times New Roman"/>
          <w:bCs/>
          <w:color w:val="000000"/>
          <w:sz w:val="28"/>
          <w:szCs w:val="28"/>
          <w:lang w:val="uk-UA"/>
        </w:rPr>
        <w:t>від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 </w:t>
      </w:r>
      <w:r w:rsidRPr="00F73FF2">
        <w:rPr>
          <w:rFonts w:ascii="Times New Roman" w:hAnsi="Times New Roman"/>
          <w:bCs/>
          <w:color w:val="000000"/>
          <w:sz w:val="28"/>
          <w:szCs w:val="28"/>
          <w:lang w:val="uk-UA"/>
        </w:rPr>
        <w:t>16.03.1999 № 406 «Про порядок створення єдиної державної системи контролю та обліку індивідуальних доз опромінення населення» та від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 </w:t>
      </w:r>
      <w:r w:rsidRPr="00F73FF2">
        <w:rPr>
          <w:rFonts w:ascii="Times New Roman" w:hAnsi="Times New Roman"/>
          <w:bCs/>
          <w:color w:val="000000"/>
          <w:sz w:val="28"/>
          <w:szCs w:val="28"/>
          <w:lang w:val="uk-UA"/>
        </w:rPr>
        <w:t>23.04.2001 № 379 «Про затвердження Порядку створення єдиної державної системи контролю та обліку індивідуальних доз опромінення населення» втратили свою актуальність та практичне застосування у зв’язку із реорганізацією та перерозподілом функцій ряду центральних органів виконавчої влади, що брали участь у регулюванн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Pr="00F73FF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радіаційної безпеки в Україні, </w:t>
      </w:r>
      <w:r w:rsidRPr="00BE512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зокрема </w:t>
      </w:r>
      <w:r w:rsidRPr="00BE512F">
        <w:rPr>
          <w:rFonts w:ascii="Times New Roman" w:hAnsi="Times New Roman"/>
          <w:color w:val="000000"/>
          <w:sz w:val="28"/>
          <w:szCs w:val="28"/>
          <w:lang w:val="uk-UA"/>
        </w:rPr>
        <w:t>це стосується Державної санітарно-епідеміологічної служби.</w:t>
      </w:r>
    </w:p>
    <w:p w14:paraId="05E68628" w14:textId="77777777" w:rsidR="002F2C18" w:rsidRPr="00F73FF2" w:rsidRDefault="002F2C18" w:rsidP="00CA65B7">
      <w:pPr>
        <w:shd w:val="clear" w:color="auto" w:fill="FFFFFF"/>
        <w:spacing w:after="0" w:line="32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У зв’язку з цим, не повною мірою виконуються базові міжнародні принципи радіаційного захисту, а організація, здійснення контролю та обліку доз їх опромінення не відповідає вимогам та практиці Європейського Союзу.</w:t>
      </w:r>
    </w:p>
    <w:p w14:paraId="77B569AB" w14:textId="77777777" w:rsidR="002F2C18" w:rsidRPr="00F73FF2" w:rsidRDefault="002F2C18" w:rsidP="00E01840">
      <w:pPr>
        <w:tabs>
          <w:tab w:val="left" w:pos="1260"/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14:paraId="05A3CDB8" w14:textId="77777777" w:rsidR="002F2C18" w:rsidRPr="00F73FF2" w:rsidRDefault="002F2C18" w:rsidP="00E01840">
      <w:pPr>
        <w:tabs>
          <w:tab w:val="left" w:pos="1260"/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F73FF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3. Суть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</w:t>
      </w:r>
      <w:r w:rsidRPr="00F73FF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роекту </w:t>
      </w:r>
      <w:proofErr w:type="spellStart"/>
      <w:r w:rsidRPr="00F73FF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акта</w:t>
      </w:r>
      <w:proofErr w:type="spellEnd"/>
    </w:p>
    <w:p w14:paraId="7817C469" w14:textId="77777777" w:rsidR="002F2C18" w:rsidRPr="00F73FF2" w:rsidRDefault="002F2C18" w:rsidP="00CA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" w:name="n1709"/>
      <w:bookmarkStart w:id="2" w:name="n116"/>
      <w:bookmarkEnd w:id="1"/>
      <w:bookmarkEnd w:id="2"/>
      <w:proofErr w:type="spellStart"/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є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ктом</w:t>
      </w:r>
      <w:proofErr w:type="spellEnd"/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передбачено:</w:t>
      </w:r>
    </w:p>
    <w:p w14:paraId="42D6F5AB" w14:textId="77777777" w:rsidR="002F2C18" w:rsidRPr="00F73FF2" w:rsidRDefault="002F2C18" w:rsidP="00CA48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A6C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затвердження 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Порядку створення єдиної державної системи контролю та обліку індивідуальних доз опромінення, що визначає організаційні засади створення та забезпечення функціонування єдиної державної системи контролю та обліку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індивідуальних доз опромінення;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14:paraId="4B9B6EF9" w14:textId="77777777" w:rsidR="002F2C18" w:rsidRPr="00F73FF2" w:rsidRDefault="002F2C18" w:rsidP="00A271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A6C8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затвердження 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Плану заходів щодо створення єдиної державної системи контролю та обліку індивідуальних доз опромінення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14:paraId="24FD15BC" w14:textId="77777777" w:rsidR="002F2C18" w:rsidRPr="00F73FF2" w:rsidRDefault="002F2C18" w:rsidP="00A271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>створення єдиної державної інформаційної системи накопичення, зберігання даних щодо індивідуальних доз опромінення на базі Державного регістру джерел іонізуючого випромінювання, що був створений на виконання постанови Кабінету Міністрів України від 04.08.1997 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F73FF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847, шляхом розширення його функцій та </w:t>
      </w:r>
      <w:r w:rsidRPr="00290AA0">
        <w:rPr>
          <w:rFonts w:ascii="Times New Roman" w:hAnsi="Times New Roman"/>
          <w:color w:val="000000"/>
          <w:sz w:val="28"/>
          <w:szCs w:val="28"/>
          <w:lang w:val="uk-UA" w:eastAsia="ru-RU"/>
        </w:rPr>
        <w:t>затвердження Положення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 Державний регістр джерел іонізуючого випромінювання, індивідуальних доз опромінення та порядок оплати послуг з їх реєстрації</w:t>
      </w:r>
      <w:r w:rsidRPr="00290AA0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1C378785" w14:textId="77777777" w:rsidR="002F2C18" w:rsidRDefault="002F2C18" w:rsidP="003375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56B1F7" w14:textId="77777777" w:rsidR="002F2C18" w:rsidRPr="004E494F" w:rsidRDefault="002F2C18" w:rsidP="00337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4E494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Вплив на бюджет</w:t>
      </w:r>
    </w:p>
    <w:p w14:paraId="2DF6107F" w14:textId="77777777" w:rsidR="002F2C18" w:rsidRPr="00BF5BD0" w:rsidRDefault="002F2C18" w:rsidP="00A27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F5BD0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F5BD0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BF5B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D0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BF5BD0">
        <w:rPr>
          <w:rFonts w:ascii="Times New Roman" w:hAnsi="Times New Roman"/>
          <w:sz w:val="28"/>
          <w:szCs w:val="28"/>
          <w:lang w:val="uk-UA"/>
        </w:rPr>
        <w:t xml:space="preserve"> не потребує додаткового фінансування із загального та спеціального фондів державного бюджету у 2020 ро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BF5BD0">
        <w:rPr>
          <w:rFonts w:ascii="Times New Roman" w:hAnsi="Times New Roman"/>
          <w:sz w:val="28"/>
          <w:szCs w:val="28"/>
          <w:lang w:val="uk-UA"/>
        </w:rPr>
        <w:t>.</w:t>
      </w:r>
    </w:p>
    <w:p w14:paraId="53E3A1B7" w14:textId="77777777" w:rsidR="002F2C18" w:rsidRPr="00BF5BD0" w:rsidRDefault="002F2C18" w:rsidP="00A27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F5BD0">
        <w:rPr>
          <w:rFonts w:ascii="Times New Roman" w:hAnsi="Times New Roman"/>
          <w:sz w:val="28"/>
          <w:szCs w:val="28"/>
          <w:lang w:val="uk-UA"/>
        </w:rPr>
        <w:t>Обсяг необхідних додаткових видатків загального фонду державного бюджету за бюджетною програмою 5271010 «Керівництво та управління у сфері ядерного регулювання» передбачається у розмірі:</w:t>
      </w:r>
    </w:p>
    <w:p w14:paraId="5EBFD18E" w14:textId="77777777" w:rsidR="002F2C18" w:rsidRPr="00BF5BD0" w:rsidRDefault="002F2C18" w:rsidP="00A27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F5BD0">
        <w:rPr>
          <w:rFonts w:ascii="Times New Roman" w:hAnsi="Times New Roman"/>
          <w:sz w:val="28"/>
          <w:szCs w:val="28"/>
          <w:lang w:val="uk-UA"/>
        </w:rPr>
        <w:t>2021 рік – 585,0 тис. грн (в тому числі капітальні видатки 315,0 тис. грн);</w:t>
      </w:r>
    </w:p>
    <w:p w14:paraId="7FD719E3" w14:textId="77777777" w:rsidR="002F2C18" w:rsidRPr="00BF5BD0" w:rsidRDefault="002F2C18" w:rsidP="00A27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F5BD0">
        <w:rPr>
          <w:rFonts w:ascii="Times New Roman" w:hAnsi="Times New Roman"/>
          <w:sz w:val="28"/>
          <w:szCs w:val="28"/>
          <w:lang w:val="uk-UA"/>
        </w:rPr>
        <w:t>2022 рік – 300,0 тис. грн.</w:t>
      </w:r>
    </w:p>
    <w:p w14:paraId="7A09097B" w14:textId="77777777" w:rsidR="002F2C18" w:rsidRDefault="002F2C18" w:rsidP="00A271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Фінансово-економічні розрахунки до </w:t>
      </w:r>
      <w:r w:rsidRPr="00BF5BD0">
        <w:rPr>
          <w:rFonts w:ascii="Times New Roman" w:hAnsi="Times New Roman"/>
          <w:sz w:val="28"/>
          <w:szCs w:val="28"/>
          <w:lang w:val="uk-UA"/>
        </w:rPr>
        <w:t>проекту постанови Кабінету Міністрів України додаються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7BDA2CD" w14:textId="77777777" w:rsidR="002F2C18" w:rsidRDefault="002F2C18" w:rsidP="00987D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11B7AB2" w14:textId="77777777" w:rsidR="002F2C18" w:rsidRDefault="002F2C18" w:rsidP="00987DCC">
      <w:pPr>
        <w:tabs>
          <w:tab w:val="num" w:pos="144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3" w:name="n2020"/>
      <w:bookmarkEnd w:id="3"/>
      <w:r w:rsidRPr="00987DCC">
        <w:rPr>
          <w:rStyle w:val="rvts9"/>
          <w:b/>
          <w:bCs/>
          <w:color w:val="000000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5</w:t>
      </w:r>
      <w:r w:rsidRPr="002D4B52">
        <w:rPr>
          <w:rFonts w:ascii="Times New Roman" w:hAnsi="Times New Roman"/>
          <w:b/>
          <w:sz w:val="28"/>
          <w:szCs w:val="28"/>
          <w:lang w:val="uk-UA" w:eastAsia="ru-RU"/>
        </w:rPr>
        <w:t xml:space="preserve">. Позиція заінтересованих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сторін</w:t>
      </w:r>
      <w:r w:rsidRPr="002D4B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263EF1E8" w14:textId="77777777" w:rsidR="002F2C18" w:rsidRDefault="002F2C18" w:rsidP="00987D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F26C9A">
        <w:rPr>
          <w:rFonts w:ascii="Times New Roman" w:hAnsi="Times New Roman"/>
          <w:sz w:val="28"/>
          <w:szCs w:val="28"/>
          <w:lang w:val="uk-UA"/>
        </w:rPr>
        <w:t xml:space="preserve"> не стосується питань</w:t>
      </w:r>
      <w:r w:rsidRPr="002478A4">
        <w:rPr>
          <w:rFonts w:ascii="Times New Roman" w:hAnsi="Times New Roman"/>
          <w:color w:val="000000"/>
          <w:sz w:val="28"/>
          <w:szCs w:val="28"/>
          <w:lang w:val="uk-UA"/>
        </w:rPr>
        <w:t xml:space="preserve"> функціонування місцевого самоврядування, прав та інтересів територіальних громад, місцевого та регіонального розвитку, соціально-трудової сфери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r w:rsidRPr="002478A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 осіб з інвалідністю</w:t>
      </w:r>
      <w:r w:rsidRPr="00F26C9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26C9A">
        <w:rPr>
          <w:rFonts w:ascii="Times New Roman" w:hAnsi="Times New Roman"/>
          <w:sz w:val="28"/>
          <w:szCs w:val="28"/>
          <w:lang w:val="uk-UA"/>
        </w:rPr>
        <w:t xml:space="preserve"> не потребує врахування позиції уповноважених представників від </w:t>
      </w:r>
      <w:r w:rsidRPr="00F26C9A">
        <w:rPr>
          <w:rFonts w:ascii="Times New Roman" w:eastAsia="MS Mincho" w:hAnsi="Times New Roman"/>
          <w:sz w:val="28"/>
          <w:szCs w:val="28"/>
          <w:lang w:val="uk-UA"/>
        </w:rPr>
        <w:t>всеукраїнських</w:t>
      </w:r>
      <w:r w:rsidRPr="00F26C9A">
        <w:rPr>
          <w:rFonts w:ascii="Times New Roman" w:hAnsi="Times New Roman"/>
          <w:sz w:val="28"/>
          <w:szCs w:val="28"/>
          <w:lang w:val="uk-UA"/>
        </w:rPr>
        <w:t xml:space="preserve"> профспілок, їх об’єднань, всеукраїнських об’єднань організацій роботодавців, а також </w:t>
      </w:r>
      <w:r w:rsidRPr="00F26C9A">
        <w:rPr>
          <w:rFonts w:ascii="Times New Roman" w:eastAsia="MS Mincho" w:hAnsi="Times New Roman"/>
          <w:sz w:val="28"/>
          <w:szCs w:val="28"/>
          <w:lang w:val="uk-UA"/>
        </w:rPr>
        <w:t>всеукраїнських</w:t>
      </w:r>
      <w:r w:rsidRPr="00F26C9A">
        <w:rPr>
          <w:rFonts w:ascii="Times New Roman" w:hAnsi="Times New Roman"/>
          <w:sz w:val="28"/>
          <w:szCs w:val="28"/>
          <w:lang w:val="uk-UA"/>
        </w:rPr>
        <w:t xml:space="preserve"> громадських організацій інвалідів та/або їх спілок.</w:t>
      </w:r>
    </w:p>
    <w:p w14:paraId="57D312B1" w14:textId="77777777" w:rsidR="002F2C18" w:rsidRPr="00A36494" w:rsidRDefault="002F2C18" w:rsidP="00A271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36494">
        <w:rPr>
          <w:rFonts w:ascii="Times New Roman" w:hAnsi="Times New Roman"/>
          <w:sz w:val="28"/>
          <w:szCs w:val="28"/>
          <w:lang w:val="uk-UA"/>
        </w:rPr>
        <w:t xml:space="preserve">Також </w:t>
      </w:r>
      <w:proofErr w:type="spellStart"/>
      <w:r w:rsidRPr="00A36494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A36494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A364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49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A36494">
        <w:rPr>
          <w:rFonts w:ascii="Times New Roman" w:hAnsi="Times New Roman"/>
          <w:sz w:val="28"/>
          <w:szCs w:val="28"/>
          <w:lang w:val="uk-UA"/>
        </w:rPr>
        <w:t xml:space="preserve"> не стосується </w:t>
      </w:r>
      <w:r w:rsidRPr="00987DCC">
        <w:rPr>
          <w:rFonts w:ascii="Times New Roman" w:hAnsi="Times New Roman"/>
          <w:color w:val="000000"/>
          <w:sz w:val="28"/>
          <w:szCs w:val="28"/>
          <w:lang w:val="uk-UA"/>
        </w:rPr>
        <w:t>сфери наукової та науково-технічної діяльності</w:t>
      </w:r>
      <w:r w:rsidRPr="00A3649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7810018" w14:textId="77777777" w:rsidR="002F2C18" w:rsidRDefault="002F2C18" w:rsidP="00987D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7DCC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87DCC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987D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49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987DCC">
        <w:rPr>
          <w:rFonts w:ascii="Times New Roman" w:hAnsi="Times New Roman"/>
          <w:sz w:val="28"/>
          <w:szCs w:val="28"/>
          <w:lang w:val="uk-UA"/>
        </w:rPr>
        <w:t xml:space="preserve"> було розміщено на офіційному вебсайті Державної інспекції ядерного регулювання України. Пропозицій та зауважень отримано не було.</w:t>
      </w:r>
    </w:p>
    <w:p w14:paraId="0AED72DC" w14:textId="77777777" w:rsidR="002F2C18" w:rsidRDefault="002F2C18" w:rsidP="00987D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Прогноз впливу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на ключові інтереси заінтересованих сторін додається.</w:t>
      </w:r>
    </w:p>
    <w:p w14:paraId="525C291A" w14:textId="77777777" w:rsidR="002F2C18" w:rsidRDefault="002F2C18" w:rsidP="00987DCC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4B52">
        <w:rPr>
          <w:rFonts w:ascii="Times New Roman" w:hAnsi="Times New Roman"/>
          <w:b/>
          <w:sz w:val="28"/>
          <w:szCs w:val="28"/>
          <w:lang w:val="uk-UA" w:eastAsia="ru-RU"/>
        </w:rPr>
        <w:t> </w:t>
      </w:r>
      <w:r w:rsidRPr="00A5076D">
        <w:rPr>
          <w:rFonts w:ascii="Times New Roman" w:hAnsi="Times New Roman"/>
          <w:b/>
          <w:sz w:val="28"/>
          <w:szCs w:val="28"/>
          <w:lang w:val="uk-UA" w:eastAsia="ru-RU"/>
        </w:rPr>
        <w:t>6. Прогноз впливу</w:t>
      </w:r>
    </w:p>
    <w:p w14:paraId="34A1B9B7" w14:textId="77777777" w:rsidR="002F2C18" w:rsidRPr="00222146" w:rsidRDefault="002F2C18" w:rsidP="00987DCC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222146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222146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222146">
        <w:rPr>
          <w:rFonts w:ascii="Times New Roman" w:hAnsi="Times New Roman"/>
          <w:sz w:val="28"/>
          <w:szCs w:val="28"/>
          <w:lang w:val="uk-UA"/>
        </w:rPr>
        <w:t xml:space="preserve"> є регуляторним актом,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погоджений Державною регуляторною службою</w:t>
      </w:r>
      <w:r w:rsidRPr="002221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(рішення про погодження від 05.12.2019 року № 498).  </w:t>
      </w:r>
    </w:p>
    <w:p w14:paraId="3B5E7134" w14:textId="77777777" w:rsidR="002F2C18" w:rsidRPr="0061009B" w:rsidRDefault="002F2C18" w:rsidP="00CA35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5F5A">
        <w:rPr>
          <w:rFonts w:ascii="Times New Roman" w:hAnsi="Times New Roman"/>
          <w:sz w:val="28"/>
          <w:szCs w:val="28"/>
          <w:lang w:val="uk-UA" w:eastAsia="ru-RU"/>
        </w:rPr>
        <w:t xml:space="preserve">З прийняттям </w:t>
      </w:r>
      <w:proofErr w:type="spellStart"/>
      <w:r w:rsidR="0053373F" w:rsidRPr="00585F5A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="0053373F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53373F" w:rsidRPr="00585F5A">
        <w:rPr>
          <w:rFonts w:ascii="Times New Roman" w:hAnsi="Times New Roman"/>
          <w:sz w:val="28"/>
          <w:szCs w:val="28"/>
          <w:lang w:val="uk-UA" w:eastAsia="ru-RU"/>
        </w:rPr>
        <w:t>кту</w:t>
      </w:r>
      <w:proofErr w:type="spellEnd"/>
      <w:r w:rsidR="0053373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акта</w:t>
      </w:r>
      <w:proofErr w:type="spellEnd"/>
      <w:r w:rsidRPr="00585F5A">
        <w:rPr>
          <w:rFonts w:ascii="Times New Roman" w:hAnsi="Times New Roman"/>
          <w:sz w:val="28"/>
          <w:szCs w:val="28"/>
          <w:lang w:val="uk-UA" w:eastAsia="ru-RU"/>
        </w:rPr>
        <w:t xml:space="preserve"> буде</w:t>
      </w:r>
      <w:r w:rsidRPr="00200B03">
        <w:rPr>
          <w:rFonts w:ascii="Times New Roman" w:hAnsi="Times New Roman"/>
          <w:sz w:val="28"/>
          <w:szCs w:val="28"/>
          <w:lang w:val="uk-UA" w:eastAsia="ru-RU"/>
        </w:rPr>
        <w:t xml:space="preserve"> створено єдину державну систему обліку та контролю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індивідуальних </w:t>
      </w:r>
      <w:r w:rsidRPr="00200B03">
        <w:rPr>
          <w:rFonts w:ascii="Times New Roman" w:hAnsi="Times New Roman"/>
          <w:sz w:val="28"/>
          <w:szCs w:val="28"/>
          <w:lang w:val="uk-UA" w:eastAsia="ru-RU"/>
        </w:rPr>
        <w:t xml:space="preserve">доз опромінення </w:t>
      </w:r>
      <w:r w:rsidRPr="00E6272D">
        <w:rPr>
          <w:rFonts w:ascii="Times New Roman" w:hAnsi="Times New Roman"/>
          <w:sz w:val="28"/>
          <w:szCs w:val="28"/>
          <w:lang w:val="uk-UA" w:eastAsia="ru-RU"/>
        </w:rPr>
        <w:t xml:space="preserve">осіб із числа персоналу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272D">
        <w:rPr>
          <w:rFonts w:ascii="Times New Roman" w:hAnsi="Times New Roman"/>
          <w:sz w:val="28"/>
          <w:szCs w:val="28"/>
          <w:lang w:val="uk-UA" w:eastAsia="ru-RU"/>
        </w:rPr>
        <w:t xml:space="preserve"> у всіх сферах використання ядерної енергії,</w:t>
      </w:r>
      <w:r w:rsidRPr="00927B90">
        <w:rPr>
          <w:rFonts w:ascii="Times New Roman" w:hAnsi="Times New Roman"/>
          <w:sz w:val="28"/>
          <w:szCs w:val="28"/>
          <w:lang w:val="uk-UA" w:eastAsia="ru-RU"/>
        </w:rPr>
        <w:t xml:space="preserve"> встановлен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 </w:t>
      </w:r>
      <w:r w:rsidRPr="00927B90">
        <w:rPr>
          <w:rFonts w:ascii="Times New Roman" w:hAnsi="Times New Roman"/>
          <w:sz w:val="28"/>
          <w:szCs w:val="28"/>
          <w:lang w:val="uk-UA" w:eastAsia="ru-RU"/>
        </w:rPr>
        <w:t>єдин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927B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методичні підходи до проведення індивідуального дозиметричного контролю та оцінки його результатів, що сприятиме</w:t>
      </w:r>
      <w:r w:rsidRPr="00927B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підвищенню рівня державного нагляду у сфері використання ядерної енергії. </w:t>
      </w:r>
      <w:r w:rsidRPr="00CA35CA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proofErr w:type="spellStart"/>
      <w:r w:rsidR="0053373F" w:rsidRPr="00CA35CA">
        <w:rPr>
          <w:rFonts w:ascii="Times New Roman" w:hAnsi="Times New Roman"/>
          <w:sz w:val="28"/>
          <w:szCs w:val="28"/>
          <w:lang w:val="uk-UA"/>
        </w:rPr>
        <w:t>про</w:t>
      </w:r>
      <w:r w:rsidR="0053373F">
        <w:rPr>
          <w:rFonts w:ascii="Times New Roman" w:hAnsi="Times New Roman"/>
          <w:sz w:val="28"/>
          <w:szCs w:val="28"/>
          <w:lang w:val="uk-UA"/>
        </w:rPr>
        <w:t>є</w:t>
      </w:r>
      <w:r w:rsidR="0053373F" w:rsidRPr="00CA35CA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53373F" w:rsidRPr="00CA35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5CA"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забезпечить виконання </w:t>
      </w:r>
      <w:bookmarkStart w:id="4" w:name="n1717"/>
      <w:bookmarkEnd w:id="4"/>
      <w:r w:rsidRPr="00B61B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вимог Закону України «Про захист людини від впливу іонізуючого випромінювання» та Директиви Ради 2013/59/Євратом,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яка</w:t>
      </w:r>
      <w:r w:rsidRPr="00B61B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встановлює основні стандарти безпеки для захисту від небезпеки, що виникає від іонізуючого випромінювання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відповідно до пункту 755 </w:t>
      </w:r>
      <w:hyperlink r:id="rId7" w:history="1">
        <w:r w:rsidRPr="00F26C9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Плану Заходів</w:t>
        </w:r>
      </w:hyperlink>
      <w:r w:rsidRPr="00F26C9A">
        <w:rPr>
          <w:rStyle w:val="rvts23"/>
          <w:rFonts w:ascii="Times New Roman" w:hAnsi="Times New Roman"/>
          <w:sz w:val="28"/>
          <w:szCs w:val="28"/>
          <w:lang w:val="uk-UA"/>
        </w:rPr>
        <w:t xml:space="preserve"> з виконання </w:t>
      </w:r>
      <w:hyperlink r:id="rId8" w:tgtFrame="_blank" w:history="1">
        <w:r w:rsidRPr="00F26C9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Угоди про асоціацію</w:t>
        </w:r>
      </w:hyperlink>
      <w:r w:rsidRPr="0061009B">
        <w:rPr>
          <w:rStyle w:val="rvts23"/>
          <w:rFonts w:ascii="Times New Roman" w:hAnsi="Times New Roman"/>
          <w:sz w:val="28"/>
          <w:szCs w:val="28"/>
          <w:lang w:val="uk-UA"/>
        </w:rPr>
        <w:t xml:space="preserve">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, затвердженого постановою Кабінету Міністрів України від 25.10. 2017 № 1106.</w:t>
      </w:r>
    </w:p>
    <w:p w14:paraId="3129BBEC" w14:textId="77777777" w:rsidR="002F2C18" w:rsidRPr="00F26C9A" w:rsidRDefault="002F2C18" w:rsidP="00A27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26C9A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F26C9A">
        <w:rPr>
          <w:rFonts w:ascii="Times New Roman" w:hAnsi="Times New Roman"/>
          <w:sz w:val="28"/>
          <w:szCs w:val="28"/>
          <w:lang w:val="uk-UA"/>
        </w:rPr>
        <w:t xml:space="preserve"> не матиме впливу на рин</w:t>
      </w:r>
      <w:r>
        <w:rPr>
          <w:rFonts w:ascii="Times New Roman" w:hAnsi="Times New Roman"/>
          <w:sz w:val="28"/>
          <w:szCs w:val="28"/>
          <w:lang w:val="uk-UA"/>
        </w:rPr>
        <w:t>кове середовище</w:t>
      </w:r>
      <w:r w:rsidRPr="00F26C9A">
        <w:rPr>
          <w:rFonts w:ascii="Times New Roman" w:hAnsi="Times New Roman"/>
          <w:sz w:val="28"/>
          <w:szCs w:val="28"/>
          <w:lang w:val="uk-UA"/>
        </w:rPr>
        <w:t>.</w:t>
      </w:r>
    </w:p>
    <w:p w14:paraId="291B1305" w14:textId="77777777" w:rsidR="002F2C18" w:rsidRPr="00F26C9A" w:rsidRDefault="002F2C18" w:rsidP="00A27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26C9A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F26C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F26C9A">
        <w:rPr>
          <w:rFonts w:ascii="Times New Roman" w:hAnsi="Times New Roman"/>
          <w:sz w:val="28"/>
          <w:szCs w:val="28"/>
          <w:lang w:val="uk-UA"/>
        </w:rPr>
        <w:t>матиме впливу на розвиток регіонів.</w:t>
      </w:r>
    </w:p>
    <w:p w14:paraId="0EB568D5" w14:textId="77777777" w:rsidR="002F2C18" w:rsidRPr="00F26C9A" w:rsidRDefault="002F2C18" w:rsidP="00A27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26C9A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F26C9A">
        <w:rPr>
          <w:rFonts w:ascii="Times New Roman" w:hAnsi="Times New Roman"/>
          <w:sz w:val="28"/>
          <w:szCs w:val="28"/>
          <w:lang w:val="uk-UA"/>
        </w:rPr>
        <w:t xml:space="preserve"> не матиме впливу на рин</w:t>
      </w:r>
      <w:r>
        <w:rPr>
          <w:rFonts w:ascii="Times New Roman" w:hAnsi="Times New Roman"/>
          <w:sz w:val="28"/>
          <w:szCs w:val="28"/>
          <w:lang w:val="uk-UA"/>
        </w:rPr>
        <w:t>ок праці</w:t>
      </w:r>
      <w:r w:rsidRPr="00F26C9A">
        <w:rPr>
          <w:rFonts w:ascii="Times New Roman" w:hAnsi="Times New Roman"/>
          <w:sz w:val="28"/>
          <w:szCs w:val="28"/>
          <w:lang w:val="uk-UA"/>
        </w:rPr>
        <w:t>.</w:t>
      </w:r>
    </w:p>
    <w:p w14:paraId="608367D4" w14:textId="77777777" w:rsidR="002F2C18" w:rsidRPr="00E25A09" w:rsidRDefault="002F2C18" w:rsidP="00A271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5A09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E25A09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25A09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E25A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5A09">
        <w:rPr>
          <w:rFonts w:ascii="Times New Roman" w:hAnsi="Times New Roman"/>
          <w:sz w:val="28"/>
          <w:szCs w:val="28"/>
          <w:lang w:val="uk-UA"/>
        </w:rPr>
        <w:t>спрямована на підвищення рівня захисту людини від впливу іонізуючого випромінювання.</w:t>
      </w:r>
    </w:p>
    <w:p w14:paraId="2C330F8D" w14:textId="77777777" w:rsidR="002F2C18" w:rsidRDefault="002F2C18">
      <w:pPr>
        <w:spacing w:after="12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5A09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E25A09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25A09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E25A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A09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E25A09">
        <w:rPr>
          <w:rFonts w:ascii="Times New Roman" w:hAnsi="Times New Roman"/>
          <w:sz w:val="28"/>
          <w:szCs w:val="28"/>
          <w:lang w:val="uk-UA"/>
        </w:rPr>
        <w:t xml:space="preserve"> не матиме впливу на інші сфери суспільних відносин.</w:t>
      </w:r>
    </w:p>
    <w:p w14:paraId="3DE85E67" w14:textId="77777777" w:rsidR="002F2C18" w:rsidRDefault="0053373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br w:type="page"/>
      </w:r>
      <w:r w:rsidR="002F2C1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7</w:t>
      </w:r>
      <w:r w:rsidR="002F2C18" w:rsidRPr="002D4B52">
        <w:rPr>
          <w:rFonts w:ascii="Times New Roman" w:hAnsi="Times New Roman"/>
          <w:b/>
          <w:sz w:val="28"/>
          <w:szCs w:val="28"/>
          <w:lang w:val="uk-UA" w:eastAsia="ru-RU"/>
        </w:rPr>
        <w:t xml:space="preserve">. Позиція </w:t>
      </w:r>
      <w:r w:rsidR="002F2C18">
        <w:rPr>
          <w:rFonts w:ascii="Times New Roman" w:hAnsi="Times New Roman"/>
          <w:b/>
          <w:sz w:val="28"/>
          <w:szCs w:val="28"/>
          <w:lang w:val="uk-UA" w:eastAsia="ru-RU"/>
        </w:rPr>
        <w:t>заінтересованих органів</w:t>
      </w:r>
    </w:p>
    <w:p w14:paraId="167A6884" w14:textId="77777777" w:rsidR="002F2C18" w:rsidRPr="00987DCC" w:rsidRDefault="002F2C18">
      <w:pPr>
        <w:tabs>
          <w:tab w:val="num" w:pos="1440"/>
        </w:tabs>
        <w:spacing w:after="12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потребує погодження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1E6A7B">
        <w:rPr>
          <w:rFonts w:ascii="Times New Roman" w:hAnsi="Times New Roman"/>
          <w:sz w:val="28"/>
          <w:szCs w:val="28"/>
          <w:lang w:val="uk-UA" w:eastAsia="ru-RU"/>
        </w:rPr>
        <w:t xml:space="preserve">іністерством </w:t>
      </w:r>
      <w:r w:rsidRPr="006D428E">
        <w:rPr>
          <w:rFonts w:ascii="Times New Roman" w:hAnsi="Times New Roman"/>
          <w:sz w:val="28"/>
          <w:szCs w:val="28"/>
          <w:lang w:val="uk-UA" w:eastAsia="ru-RU"/>
        </w:rPr>
        <w:t>охорони здоров’я України,</w:t>
      </w:r>
      <w:r w:rsidRPr="00111A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E6A7B">
        <w:rPr>
          <w:rFonts w:ascii="Times New Roman" w:hAnsi="Times New Roman"/>
          <w:sz w:val="28"/>
          <w:szCs w:val="28"/>
          <w:lang w:val="uk-UA" w:eastAsia="ru-RU"/>
        </w:rPr>
        <w:t>Міністерством соціальної політики України</w:t>
      </w:r>
      <w:r w:rsidR="0053373F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172A5">
        <w:rPr>
          <w:rFonts w:ascii="Times New Roman" w:hAnsi="Times New Roman"/>
          <w:color w:val="1D1D1B"/>
          <w:sz w:val="28"/>
          <w:szCs w:val="28"/>
          <w:lang w:val="uk-UA"/>
        </w:rPr>
        <w:t>Міністерством розвитку економіки, торгівлі і сільського господарства України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987DCC">
        <w:rPr>
          <w:rFonts w:ascii="Times New Roman" w:hAnsi="Times New Roman"/>
          <w:sz w:val="28"/>
          <w:szCs w:val="28"/>
          <w:highlight w:val="cyan"/>
          <w:lang w:val="uk-UA" w:eastAsia="ru-RU"/>
        </w:rPr>
        <w:t xml:space="preserve"> </w:t>
      </w:r>
      <w:r w:rsidRPr="003A442B">
        <w:rPr>
          <w:rFonts w:ascii="Times New Roman" w:hAnsi="Times New Roman"/>
          <w:color w:val="1D1D1B"/>
          <w:sz w:val="28"/>
          <w:szCs w:val="28"/>
          <w:lang w:val="uk-UA"/>
        </w:rPr>
        <w:t>Міністерством енергетики та захисту довкілля України</w:t>
      </w:r>
      <w:r>
        <w:rPr>
          <w:rFonts w:ascii="Times New Roman" w:hAnsi="Times New Roman"/>
          <w:color w:val="1D1D1B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Міністерством фінансів України</w:t>
      </w:r>
      <w:r w:rsidR="0053373F">
        <w:rPr>
          <w:rFonts w:ascii="Times New Roman" w:hAnsi="Times New Roman"/>
          <w:sz w:val="28"/>
          <w:szCs w:val="28"/>
          <w:lang w:val="uk-UA" w:eastAsia="ru-RU"/>
        </w:rPr>
        <w:t xml:space="preserve"> та проведення юридичної експертизи Міністерством юстиції України</w:t>
      </w:r>
      <w:r w:rsidR="008B7AC0">
        <w:rPr>
          <w:rFonts w:ascii="Times New Roman" w:hAnsi="Times New Roman"/>
          <w:sz w:val="28"/>
          <w:szCs w:val="28"/>
          <w:lang w:val="uk-UA" w:eastAsia="ru-RU"/>
        </w:rPr>
        <w:t xml:space="preserve">, проведення </w:t>
      </w:r>
      <w:r w:rsidR="002A2C54">
        <w:rPr>
          <w:rFonts w:ascii="Times New Roman" w:hAnsi="Times New Roman"/>
          <w:sz w:val="28"/>
          <w:szCs w:val="28"/>
          <w:lang w:val="uk-UA" w:eastAsia="ru-RU"/>
        </w:rPr>
        <w:t>цифрової експертизи Міністерством цифрової трансформації України</w:t>
      </w:r>
      <w:r w:rsidR="0053373F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2D4B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71085449" w14:textId="77777777" w:rsidR="002F2C18" w:rsidRPr="0021480A" w:rsidRDefault="002F2C18" w:rsidP="0021480A">
      <w:pPr>
        <w:widowControl w:val="0"/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 Ризики та обмеження</w:t>
      </w:r>
      <w:r w:rsidRPr="002148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7966788" w14:textId="77777777" w:rsidR="0053373F" w:rsidRPr="002A2C54" w:rsidRDefault="002F2C18" w:rsidP="00987DCC">
      <w:pPr>
        <w:spacing w:after="0"/>
        <w:ind w:firstLine="533"/>
        <w:jc w:val="both"/>
        <w:rPr>
          <w:rFonts w:ascii="Times New Roman" w:hAnsi="Times New Roman"/>
          <w:sz w:val="28"/>
          <w:szCs w:val="28"/>
          <w:lang w:val="uk-UA"/>
        </w:rPr>
      </w:pPr>
      <w:r w:rsidRPr="00987DCC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987DCC"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 w:rsidRPr="00987D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7DCC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987DCC">
        <w:rPr>
          <w:rFonts w:ascii="Times New Roman" w:hAnsi="Times New Roman"/>
          <w:sz w:val="28"/>
          <w:szCs w:val="28"/>
          <w:lang w:val="uk-UA"/>
        </w:rPr>
        <w:t xml:space="preserve"> відсутні положення, що стосуються прав та свобод, гарантованих </w:t>
      </w:r>
      <w:hyperlink r:id="rId9" w:tgtFrame="_blank" w:history="1">
        <w:r w:rsidRPr="00987DC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Конвенцією про захист прав людини і основоположних свобод</w:t>
        </w:r>
      </w:hyperlink>
      <w:r w:rsidR="0053373F" w:rsidRPr="002A2C54">
        <w:rPr>
          <w:rFonts w:ascii="Times New Roman" w:hAnsi="Times New Roman"/>
          <w:color w:val="000000"/>
          <w:sz w:val="28"/>
          <w:szCs w:val="28"/>
          <w:lang w:val="uk-UA"/>
        </w:rPr>
        <w:t xml:space="preserve"> ознак впливу на забезпечення рівних прав та можливостей жінок і чоловіків. </w:t>
      </w:r>
      <w:proofErr w:type="spellStart"/>
      <w:r w:rsidR="0053373F" w:rsidRPr="002A2C54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 w:rsidR="00AB09E8" w:rsidRPr="002A2C54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53373F" w:rsidRPr="002A2C54">
        <w:rPr>
          <w:rFonts w:ascii="Times New Roman" w:hAnsi="Times New Roman"/>
          <w:color w:val="000000"/>
          <w:sz w:val="28"/>
          <w:szCs w:val="28"/>
          <w:lang w:val="uk-UA"/>
        </w:rPr>
        <w:t>кт</w:t>
      </w:r>
      <w:proofErr w:type="spellEnd"/>
      <w:r w:rsidR="0053373F" w:rsidRPr="002A2C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3373F" w:rsidRPr="002A2C5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53373F" w:rsidRPr="002A2C54">
        <w:rPr>
          <w:rFonts w:ascii="Times New Roman" w:hAnsi="Times New Roman"/>
          <w:sz w:val="28"/>
          <w:szCs w:val="28"/>
          <w:lang w:val="uk-UA"/>
        </w:rPr>
        <w:t xml:space="preserve"> не встановлює правил та процедур, що можуть</w:t>
      </w:r>
      <w:r w:rsidR="0053373F" w:rsidRPr="002A2C54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містити ризики вчинення корупційних правопорушень та правопорушень, пов'язаних з корупцією та створювати підстави для дискримінації.  </w:t>
      </w:r>
    </w:p>
    <w:p w14:paraId="100EC5B8" w14:textId="77777777" w:rsidR="0053373F" w:rsidRPr="002A2C54" w:rsidRDefault="0053373F" w:rsidP="00AB09E8">
      <w:pPr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2C54">
        <w:rPr>
          <w:rFonts w:ascii="Times New Roman" w:hAnsi="Times New Roman"/>
          <w:sz w:val="28"/>
          <w:szCs w:val="28"/>
          <w:lang w:val="uk-UA"/>
        </w:rPr>
        <w:t xml:space="preserve">Правові підстави для проведення громадської </w:t>
      </w:r>
      <w:proofErr w:type="spellStart"/>
      <w:r w:rsidRPr="002A2C54">
        <w:rPr>
          <w:rFonts w:ascii="Times New Roman" w:hAnsi="Times New Roman"/>
          <w:sz w:val="28"/>
          <w:szCs w:val="28"/>
          <w:lang w:val="uk-UA"/>
        </w:rPr>
        <w:t>антидискримінаційної</w:t>
      </w:r>
      <w:proofErr w:type="spellEnd"/>
      <w:r w:rsidRPr="002A2C54">
        <w:rPr>
          <w:rFonts w:ascii="Times New Roman" w:hAnsi="Times New Roman"/>
          <w:sz w:val="28"/>
          <w:szCs w:val="28"/>
          <w:lang w:val="uk-UA"/>
        </w:rPr>
        <w:t xml:space="preserve"> експертизи відсутні</w:t>
      </w:r>
      <w:r w:rsidRPr="002A2C5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21C3DA3E" w14:textId="77777777" w:rsidR="002A2C54" w:rsidRPr="00987DCC" w:rsidRDefault="002A2C54" w:rsidP="002A2C5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7D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87D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7DCC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987DCC">
        <w:rPr>
          <w:rFonts w:ascii="Times New Roman" w:hAnsi="Times New Roman"/>
          <w:sz w:val="28"/>
          <w:szCs w:val="28"/>
          <w:lang w:val="uk-UA"/>
        </w:rPr>
        <w:t xml:space="preserve"> не передбачає надання державної допомоги суб’єктам господарювання та відповідно дія Закону України «Про державну допомогу суб’єктам господарювання» не поширюється на зазначений </w:t>
      </w:r>
      <w:proofErr w:type="spellStart"/>
      <w:r w:rsidRPr="00987D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87D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7DCC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987DCC">
        <w:rPr>
          <w:rFonts w:ascii="Times New Roman" w:hAnsi="Times New Roman"/>
          <w:sz w:val="28"/>
          <w:szCs w:val="28"/>
          <w:lang w:val="uk-UA"/>
        </w:rPr>
        <w:t xml:space="preserve"> та суб’єктів господарювання. У зв’язку з цим відповідне рішення Антимонопольного комітету України передбачене зазначеним Законом не потребується.</w:t>
      </w:r>
    </w:p>
    <w:p w14:paraId="7198516A" w14:textId="77777777" w:rsidR="002F2C18" w:rsidRDefault="002F2C18" w:rsidP="00987DCC">
      <w:pPr>
        <w:spacing w:before="120"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B19D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9. Підстава розроблення проекту </w:t>
      </w:r>
      <w:proofErr w:type="spellStart"/>
      <w:r w:rsidRPr="000B19D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акта</w:t>
      </w:r>
      <w:proofErr w:type="spellEnd"/>
    </w:p>
    <w:p w14:paraId="7B7847FD" w14:textId="77777777" w:rsidR="002F2C18" w:rsidRPr="000B19D4" w:rsidRDefault="002F2C18" w:rsidP="00987DCC">
      <w:pPr>
        <w:tabs>
          <w:tab w:val="num" w:pos="1440"/>
        </w:tabs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B19D4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є</w:t>
      </w:r>
      <w:r w:rsidRPr="000B19D4">
        <w:rPr>
          <w:rFonts w:ascii="Times New Roman" w:hAnsi="Times New Roman"/>
          <w:color w:val="000000"/>
          <w:sz w:val="28"/>
          <w:szCs w:val="28"/>
          <w:lang w:val="uk-UA" w:eastAsia="ru-RU"/>
        </w:rPr>
        <w:t>кт</w:t>
      </w:r>
      <w:proofErr w:type="spellEnd"/>
      <w:r w:rsidRPr="000B19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09E8"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0B19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розроблено Державною інспекцією ядерного регулювання України на виконання вимог:</w:t>
      </w:r>
    </w:p>
    <w:p w14:paraId="506EB81C" w14:textId="77777777" w:rsidR="002F2C18" w:rsidRPr="000B19D4" w:rsidRDefault="002F2C18" w:rsidP="003375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B19D4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статті 18</w:t>
      </w:r>
      <w:r w:rsidRPr="000B19D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 </w:t>
      </w:r>
      <w:hyperlink r:id="rId10" w:tgtFrame="_blank" w:history="1">
        <w:r w:rsidRPr="000B19D4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Закону України «Про використання ядерної енергії та радіаційну безпеку</w:t>
        </w:r>
      </w:hyperlink>
      <w:r w:rsidRPr="000B19D4">
        <w:rPr>
          <w:rFonts w:ascii="Times New Roman" w:hAnsi="Times New Roman"/>
          <w:color w:val="000000"/>
          <w:sz w:val="28"/>
          <w:szCs w:val="28"/>
          <w:lang w:val="uk-UA" w:eastAsia="uk-UA"/>
        </w:rPr>
        <w:t>»;</w:t>
      </w:r>
      <w:r w:rsidRPr="000B19D4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14:paraId="4299E61C" w14:textId="77777777" w:rsidR="002F2C18" w:rsidRPr="000B19D4" w:rsidRDefault="002F2C18" w:rsidP="003375D2">
      <w:pPr>
        <w:tabs>
          <w:tab w:val="left" w:pos="126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19D4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статті 18 Закону України «Про захист людини від впливу іонізуючого випромінювання»;</w:t>
      </w:r>
    </w:p>
    <w:p w14:paraId="251D9524" w14:textId="77777777" w:rsidR="002F2C18" w:rsidRPr="000B19D4" w:rsidRDefault="002F2C18" w:rsidP="003375D2">
      <w:pPr>
        <w:tabs>
          <w:tab w:val="left" w:pos="126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B19D4">
        <w:rPr>
          <w:rFonts w:ascii="Times New Roman" w:hAnsi="Times New Roman"/>
          <w:color w:val="000000"/>
          <w:sz w:val="28"/>
          <w:szCs w:val="28"/>
          <w:lang w:val="uk-UA" w:eastAsia="ru-RU"/>
        </w:rPr>
        <w:t>підпункту 26 пункту 4 Положення про Державну інспекцію ядерного регулювання України;</w:t>
      </w:r>
    </w:p>
    <w:p w14:paraId="7AEF5F2A" w14:textId="77777777" w:rsidR="002F2C18" w:rsidRPr="000B19D4" w:rsidRDefault="002F2C18" w:rsidP="003375D2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0B19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пункту 755 </w:t>
      </w:r>
      <w:hyperlink r:id="rId11" w:history="1">
        <w:r w:rsidRPr="000B19D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Плану Заходів</w:t>
        </w:r>
      </w:hyperlink>
      <w:r w:rsidRPr="000B19D4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 xml:space="preserve"> з виконання </w:t>
      </w:r>
      <w:hyperlink r:id="rId12" w:tgtFrame="_blank" w:history="1">
        <w:r w:rsidRPr="000B19D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Угоди про асоціацію</w:t>
        </w:r>
      </w:hyperlink>
      <w:r w:rsidRPr="000B19D4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 xml:space="preserve">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25 жовтня 2017 року № 1106.</w:t>
      </w:r>
      <w:r w:rsidRPr="000B19D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4C22CD56" w14:textId="77777777" w:rsidR="002F2C18" w:rsidRDefault="002F2C18" w:rsidP="003375D2">
      <w:pPr>
        <w:tabs>
          <w:tab w:val="num" w:pos="14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E2C387A" w14:textId="77777777" w:rsidR="002F2C18" w:rsidRPr="003375D2" w:rsidRDefault="002F2C18" w:rsidP="00E9050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75D2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інспекції </w:t>
      </w:r>
    </w:p>
    <w:p w14:paraId="317F912A" w14:textId="77777777" w:rsidR="002F2C18" w:rsidRPr="003375D2" w:rsidRDefault="002F2C18" w:rsidP="00E9050E">
      <w:pPr>
        <w:widowControl w:val="0"/>
        <w:tabs>
          <w:tab w:val="right" w:pos="9214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75D2">
        <w:rPr>
          <w:rFonts w:ascii="Times New Roman" w:hAnsi="Times New Roman"/>
          <w:b/>
          <w:sz w:val="28"/>
          <w:szCs w:val="28"/>
          <w:lang w:val="uk-UA"/>
        </w:rPr>
        <w:t xml:space="preserve">ядерного регулювання України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375D2">
        <w:rPr>
          <w:rFonts w:ascii="Times New Roman" w:hAnsi="Times New Roman"/>
          <w:b/>
          <w:sz w:val="28"/>
          <w:szCs w:val="28"/>
          <w:lang w:val="uk-UA"/>
        </w:rPr>
        <w:t xml:space="preserve">            Г</w:t>
      </w:r>
      <w:r>
        <w:rPr>
          <w:rFonts w:ascii="Times New Roman" w:hAnsi="Times New Roman"/>
          <w:b/>
          <w:sz w:val="28"/>
          <w:szCs w:val="28"/>
          <w:lang w:val="uk-UA"/>
        </w:rPr>
        <w:t>ригорій</w:t>
      </w:r>
      <w:r w:rsidRPr="007F6F31">
        <w:rPr>
          <w:rFonts w:ascii="Times New Roman" w:hAnsi="Times New Roman"/>
          <w:b/>
          <w:sz w:val="28"/>
          <w:szCs w:val="28"/>
        </w:rPr>
        <w:t> </w:t>
      </w:r>
      <w:r w:rsidRPr="003375D2">
        <w:rPr>
          <w:rFonts w:ascii="Times New Roman" w:hAnsi="Times New Roman"/>
          <w:b/>
          <w:sz w:val="28"/>
          <w:szCs w:val="28"/>
          <w:lang w:val="uk-UA"/>
        </w:rPr>
        <w:t>ПЛАЧКОВ</w:t>
      </w:r>
    </w:p>
    <w:p w14:paraId="05F0C104" w14:textId="77777777" w:rsidR="002F2C18" w:rsidRPr="00B607EF" w:rsidRDefault="002F2C18" w:rsidP="00987DCC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40550">
        <w:rPr>
          <w:rFonts w:ascii="Times New Roman" w:hAnsi="Times New Roman"/>
          <w:sz w:val="28"/>
          <w:szCs w:val="28"/>
        </w:rPr>
        <w:t>«___</w:t>
      </w:r>
      <w:proofErr w:type="gramStart"/>
      <w:r w:rsidRPr="00940550">
        <w:rPr>
          <w:rFonts w:ascii="Times New Roman" w:hAnsi="Times New Roman"/>
          <w:sz w:val="28"/>
          <w:szCs w:val="28"/>
        </w:rPr>
        <w:t>_»_</w:t>
      </w:r>
      <w:proofErr w:type="gramEnd"/>
      <w:r w:rsidRPr="00940550">
        <w:rPr>
          <w:rFonts w:ascii="Times New Roman" w:hAnsi="Times New Roman"/>
          <w:sz w:val="28"/>
          <w:szCs w:val="28"/>
        </w:rPr>
        <w:t>__________20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40550">
        <w:rPr>
          <w:rFonts w:ascii="Times New Roman" w:hAnsi="Times New Roman"/>
          <w:sz w:val="28"/>
          <w:szCs w:val="28"/>
        </w:rPr>
        <w:t xml:space="preserve"> року</w:t>
      </w:r>
    </w:p>
    <w:p w14:paraId="0029783F" w14:textId="77777777" w:rsidR="002F2C18" w:rsidRPr="004324CA" w:rsidRDefault="002F2C18" w:rsidP="004324CA">
      <w:pPr>
        <w:spacing w:after="0" w:line="240" w:lineRule="auto"/>
        <w:rPr>
          <w:rFonts w:ascii="Times New Roman" w:hAnsi="Times New Roman"/>
          <w:lang w:val="uk-UA"/>
        </w:rPr>
      </w:pPr>
    </w:p>
    <w:sectPr w:rsidR="002F2C18" w:rsidRPr="004324CA" w:rsidSect="00987DCC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045A" w14:textId="77777777" w:rsidR="00A64DF7" w:rsidRDefault="00A64DF7" w:rsidP="00585F5A">
      <w:pPr>
        <w:spacing w:after="0" w:line="240" w:lineRule="auto"/>
      </w:pPr>
      <w:r>
        <w:separator/>
      </w:r>
    </w:p>
  </w:endnote>
  <w:endnote w:type="continuationSeparator" w:id="0">
    <w:p w14:paraId="36A62B4B" w14:textId="77777777" w:rsidR="00A64DF7" w:rsidRDefault="00A64DF7" w:rsidP="0058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6A86E" w14:textId="77777777" w:rsidR="00A64DF7" w:rsidRDefault="00A64DF7" w:rsidP="00585F5A">
      <w:pPr>
        <w:spacing w:after="0" w:line="240" w:lineRule="auto"/>
      </w:pPr>
      <w:r>
        <w:separator/>
      </w:r>
    </w:p>
  </w:footnote>
  <w:footnote w:type="continuationSeparator" w:id="0">
    <w:p w14:paraId="1ED8225E" w14:textId="77777777" w:rsidR="00A64DF7" w:rsidRDefault="00A64DF7" w:rsidP="0058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4D41" w14:textId="77777777" w:rsidR="002F2C18" w:rsidRDefault="00287F3A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87DCC">
      <w:rPr>
        <w:noProof/>
      </w:rPr>
      <w:t>2</w:t>
    </w:r>
    <w:r>
      <w:rPr>
        <w:noProof/>
      </w:rPr>
      <w:fldChar w:fldCharType="end"/>
    </w:r>
  </w:p>
  <w:p w14:paraId="4AA28104" w14:textId="77777777" w:rsidR="002F2C18" w:rsidRDefault="002F2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B79"/>
    <w:multiLevelType w:val="hybridMultilevel"/>
    <w:tmpl w:val="9E06D62E"/>
    <w:lvl w:ilvl="0" w:tplc="206064C6">
      <w:start w:val="10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8604EA8"/>
    <w:multiLevelType w:val="hybridMultilevel"/>
    <w:tmpl w:val="A0345A3C"/>
    <w:lvl w:ilvl="0" w:tplc="CDE671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FE8556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52"/>
    <w:rsid w:val="0002471D"/>
    <w:rsid w:val="000351E4"/>
    <w:rsid w:val="00042E5B"/>
    <w:rsid w:val="0005715B"/>
    <w:rsid w:val="00080660"/>
    <w:rsid w:val="000A2162"/>
    <w:rsid w:val="000B19D4"/>
    <w:rsid w:val="000D09B3"/>
    <w:rsid w:val="000E0F50"/>
    <w:rsid w:val="000E4B00"/>
    <w:rsid w:val="000E5DC9"/>
    <w:rsid w:val="000F14CB"/>
    <w:rsid w:val="000F437A"/>
    <w:rsid w:val="000F5480"/>
    <w:rsid w:val="00102B76"/>
    <w:rsid w:val="0010420C"/>
    <w:rsid w:val="00111A56"/>
    <w:rsid w:val="0011615E"/>
    <w:rsid w:val="00173309"/>
    <w:rsid w:val="001E60BE"/>
    <w:rsid w:val="001E6A7B"/>
    <w:rsid w:val="00200B03"/>
    <w:rsid w:val="002046F9"/>
    <w:rsid w:val="00213385"/>
    <w:rsid w:val="002145CA"/>
    <w:rsid w:val="0021480A"/>
    <w:rsid w:val="00222146"/>
    <w:rsid w:val="002478A4"/>
    <w:rsid w:val="00270452"/>
    <w:rsid w:val="00287F3A"/>
    <w:rsid w:val="00290303"/>
    <w:rsid w:val="00290AA0"/>
    <w:rsid w:val="002A2C54"/>
    <w:rsid w:val="002A4FB7"/>
    <w:rsid w:val="002D4B52"/>
    <w:rsid w:val="002F2C18"/>
    <w:rsid w:val="00321ADC"/>
    <w:rsid w:val="00324070"/>
    <w:rsid w:val="003375D2"/>
    <w:rsid w:val="00351D77"/>
    <w:rsid w:val="00356D16"/>
    <w:rsid w:val="0036637B"/>
    <w:rsid w:val="003666D8"/>
    <w:rsid w:val="003A442B"/>
    <w:rsid w:val="003A6AFD"/>
    <w:rsid w:val="003C69D3"/>
    <w:rsid w:val="003E0EBA"/>
    <w:rsid w:val="003F1D82"/>
    <w:rsid w:val="003F7BBA"/>
    <w:rsid w:val="004324CA"/>
    <w:rsid w:val="00476A61"/>
    <w:rsid w:val="004C0146"/>
    <w:rsid w:val="004E494F"/>
    <w:rsid w:val="005152FC"/>
    <w:rsid w:val="0053373F"/>
    <w:rsid w:val="00585F5A"/>
    <w:rsid w:val="005A66CD"/>
    <w:rsid w:val="005E7131"/>
    <w:rsid w:val="0061009B"/>
    <w:rsid w:val="00610AB6"/>
    <w:rsid w:val="00624A13"/>
    <w:rsid w:val="00646F4B"/>
    <w:rsid w:val="006665A1"/>
    <w:rsid w:val="006C603F"/>
    <w:rsid w:val="006D428E"/>
    <w:rsid w:val="007649F2"/>
    <w:rsid w:val="00784008"/>
    <w:rsid w:val="00792D70"/>
    <w:rsid w:val="007A6C8C"/>
    <w:rsid w:val="007B0F8A"/>
    <w:rsid w:val="007D20A4"/>
    <w:rsid w:val="007F6F31"/>
    <w:rsid w:val="00801659"/>
    <w:rsid w:val="00812E53"/>
    <w:rsid w:val="00812F47"/>
    <w:rsid w:val="00840A3B"/>
    <w:rsid w:val="008B39C0"/>
    <w:rsid w:val="008B7AC0"/>
    <w:rsid w:val="009077CB"/>
    <w:rsid w:val="00924617"/>
    <w:rsid w:val="00927B90"/>
    <w:rsid w:val="00940550"/>
    <w:rsid w:val="00950E5A"/>
    <w:rsid w:val="009514FC"/>
    <w:rsid w:val="009528D1"/>
    <w:rsid w:val="00981756"/>
    <w:rsid w:val="00987DCC"/>
    <w:rsid w:val="009D4D32"/>
    <w:rsid w:val="009E2104"/>
    <w:rsid w:val="009F2085"/>
    <w:rsid w:val="009F5D89"/>
    <w:rsid w:val="00A121DB"/>
    <w:rsid w:val="00A172A5"/>
    <w:rsid w:val="00A271C1"/>
    <w:rsid w:val="00A36494"/>
    <w:rsid w:val="00A5076D"/>
    <w:rsid w:val="00A574FF"/>
    <w:rsid w:val="00A64DF7"/>
    <w:rsid w:val="00A66E75"/>
    <w:rsid w:val="00A76E21"/>
    <w:rsid w:val="00AA780E"/>
    <w:rsid w:val="00AB09E8"/>
    <w:rsid w:val="00AB77A2"/>
    <w:rsid w:val="00B2316B"/>
    <w:rsid w:val="00B43007"/>
    <w:rsid w:val="00B5595F"/>
    <w:rsid w:val="00B607EF"/>
    <w:rsid w:val="00B61B34"/>
    <w:rsid w:val="00B66B52"/>
    <w:rsid w:val="00B81652"/>
    <w:rsid w:val="00BA1542"/>
    <w:rsid w:val="00BD16C2"/>
    <w:rsid w:val="00BE512F"/>
    <w:rsid w:val="00BF1B7F"/>
    <w:rsid w:val="00BF1C88"/>
    <w:rsid w:val="00BF5BD0"/>
    <w:rsid w:val="00C119CE"/>
    <w:rsid w:val="00C23988"/>
    <w:rsid w:val="00C3024B"/>
    <w:rsid w:val="00C32C12"/>
    <w:rsid w:val="00CA15AE"/>
    <w:rsid w:val="00CA35CA"/>
    <w:rsid w:val="00CA48AC"/>
    <w:rsid w:val="00CA65B7"/>
    <w:rsid w:val="00CD012B"/>
    <w:rsid w:val="00CE29F5"/>
    <w:rsid w:val="00D14F53"/>
    <w:rsid w:val="00D63465"/>
    <w:rsid w:val="00D71E17"/>
    <w:rsid w:val="00DB05EF"/>
    <w:rsid w:val="00E01840"/>
    <w:rsid w:val="00E215F0"/>
    <w:rsid w:val="00E231A6"/>
    <w:rsid w:val="00E25A09"/>
    <w:rsid w:val="00E33403"/>
    <w:rsid w:val="00E369F4"/>
    <w:rsid w:val="00E6272D"/>
    <w:rsid w:val="00E67B6A"/>
    <w:rsid w:val="00E74DC4"/>
    <w:rsid w:val="00E810A4"/>
    <w:rsid w:val="00E9050E"/>
    <w:rsid w:val="00EC5FF6"/>
    <w:rsid w:val="00ED3918"/>
    <w:rsid w:val="00EF34E8"/>
    <w:rsid w:val="00EF4EDB"/>
    <w:rsid w:val="00F26C9A"/>
    <w:rsid w:val="00F3436A"/>
    <w:rsid w:val="00F6524B"/>
    <w:rsid w:val="00F67392"/>
    <w:rsid w:val="00F73FF2"/>
    <w:rsid w:val="00F776C1"/>
    <w:rsid w:val="00F82579"/>
    <w:rsid w:val="00FA022F"/>
    <w:rsid w:val="00FD3E35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D9B63"/>
  <w15:docId w15:val="{086A8032-9F20-4B08-873E-0F3C48F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0E"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D4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2D4B5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Title">
    <w:name w:val="Title"/>
    <w:basedOn w:val="Normal"/>
    <w:link w:val="TitleChar"/>
    <w:uiPriority w:val="99"/>
    <w:qFormat/>
    <w:rsid w:val="002D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link w:val="Title"/>
    <w:uiPriority w:val="99"/>
    <w:locked/>
    <w:rsid w:val="002D4B5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D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link w:val="BodyText2"/>
    <w:uiPriority w:val="99"/>
    <w:semiHidden/>
    <w:locked/>
    <w:rsid w:val="002D4B5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2D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D4B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2D4B5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2D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2D4B5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D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D4B5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84008"/>
    <w:pPr>
      <w:ind w:left="720"/>
      <w:contextualSpacing/>
    </w:pPr>
  </w:style>
  <w:style w:type="character" w:styleId="Hyperlink">
    <w:name w:val="Hyperlink"/>
    <w:uiPriority w:val="99"/>
    <w:rsid w:val="00321ADC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321ADC"/>
    <w:rPr>
      <w:rFonts w:cs="Times New Roman"/>
    </w:rPr>
  </w:style>
  <w:style w:type="paragraph" w:customStyle="1" w:styleId="2">
    <w:name w:val="Знак Знак2"/>
    <w:basedOn w:val="Normal"/>
    <w:uiPriority w:val="99"/>
    <w:rsid w:val="00F26C9A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8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85F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85F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F7B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57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uiPriority w:val="99"/>
    <w:rsid w:val="00A574FF"/>
    <w:rPr>
      <w:rFonts w:cs="Times New Roman"/>
    </w:rPr>
  </w:style>
  <w:style w:type="paragraph" w:customStyle="1" w:styleId="rvps2">
    <w:name w:val="rvps2"/>
    <w:basedOn w:val="Normal"/>
    <w:uiPriority w:val="99"/>
    <w:rsid w:val="00F77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Strong">
    <w:name w:val="Strong"/>
    <w:uiPriority w:val="99"/>
    <w:qFormat/>
    <w:rsid w:val="009514FC"/>
    <w:rPr>
      <w:rFonts w:cs="Times New Roman"/>
      <w:b/>
      <w:bCs/>
    </w:rPr>
  </w:style>
  <w:style w:type="paragraph" w:customStyle="1" w:styleId="20">
    <w:name w:val="Знак Знак2 Знак Знак Знак Знак"/>
    <w:basedOn w:val="Normal"/>
    <w:uiPriority w:val="99"/>
    <w:rsid w:val="00A36494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character" w:customStyle="1" w:styleId="rvts9">
    <w:name w:val="rvts9"/>
    <w:uiPriority w:val="99"/>
    <w:rsid w:val="00A36494"/>
    <w:rPr>
      <w:rFonts w:cs="Times New Roman"/>
    </w:rPr>
  </w:style>
  <w:style w:type="character" w:customStyle="1" w:styleId="rvts37">
    <w:name w:val="rvts37"/>
    <w:uiPriority w:val="99"/>
    <w:rsid w:val="00A364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984_01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file/text/61/f473622n52.docx" TargetMode="External"/><Relationship Id="rId12" Type="http://schemas.openxmlformats.org/officeDocument/2006/relationships/hyperlink" Target="http://zakon.rada.gov.ua/laws/show/984_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file/text/61/f473622n52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9/95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95_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Мишковська Антоніна Андріївна</dc:creator>
  <cp:keywords/>
  <dc:description/>
  <cp:lastModifiedBy>Maiboroda Ksenia</cp:lastModifiedBy>
  <cp:revision>2</cp:revision>
  <cp:lastPrinted>2020-05-07T10:22:00Z</cp:lastPrinted>
  <dcterms:created xsi:type="dcterms:W3CDTF">2020-09-15T15:14:00Z</dcterms:created>
  <dcterms:modified xsi:type="dcterms:W3CDTF">2020-09-15T15:14:00Z</dcterms:modified>
</cp:coreProperties>
</file>