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496D" w14:textId="271DFFF1" w:rsidR="00B13C5F" w:rsidRPr="00F2029B" w:rsidRDefault="00F2029B" w:rsidP="00F2029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2029B">
        <w:rPr>
          <w:rFonts w:ascii="Times New Roman" w:hAnsi="Times New Roman" w:cs="Times New Roman"/>
          <w:b/>
          <w:bCs/>
          <w:sz w:val="26"/>
          <w:szCs w:val="26"/>
        </w:rPr>
        <w:t>Засідання</w:t>
      </w:r>
      <w:proofErr w:type="spellEnd"/>
      <w:r w:rsidRPr="00F20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029B">
        <w:rPr>
          <w:rFonts w:ascii="Times New Roman" w:hAnsi="Times New Roman" w:cs="Times New Roman"/>
          <w:b/>
          <w:bCs/>
          <w:sz w:val="26"/>
          <w:szCs w:val="26"/>
        </w:rPr>
        <w:t>Колегії</w:t>
      </w:r>
      <w:proofErr w:type="spellEnd"/>
      <w:r w:rsidRPr="00F2029B">
        <w:rPr>
          <w:rFonts w:ascii="Times New Roman" w:hAnsi="Times New Roman" w:cs="Times New Roman"/>
          <w:b/>
          <w:bCs/>
          <w:sz w:val="26"/>
          <w:szCs w:val="26"/>
        </w:rPr>
        <w:t xml:space="preserve"> Держатомрегулювання </w:t>
      </w:r>
      <w:proofErr w:type="spellStart"/>
      <w:r w:rsidRPr="00F2029B">
        <w:rPr>
          <w:rFonts w:ascii="Times New Roman" w:hAnsi="Times New Roman" w:cs="Times New Roman"/>
          <w:b/>
          <w:bCs/>
          <w:sz w:val="26"/>
          <w:szCs w:val="26"/>
        </w:rPr>
        <w:t>України</w:t>
      </w:r>
      <w:proofErr w:type="spellEnd"/>
      <w:r w:rsidRPr="00F2029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F2029B">
        <w:rPr>
          <w:rFonts w:ascii="Times New Roman" w:hAnsi="Times New Roman" w:cs="Times New Roman"/>
          <w:b/>
          <w:bCs/>
          <w:sz w:val="26"/>
          <w:szCs w:val="26"/>
        </w:rPr>
        <w:t>присвячене</w:t>
      </w:r>
      <w:proofErr w:type="spellEnd"/>
      <w:r w:rsidRPr="00F2029B">
        <w:rPr>
          <w:rFonts w:ascii="Times New Roman" w:hAnsi="Times New Roman" w:cs="Times New Roman"/>
          <w:b/>
          <w:bCs/>
          <w:sz w:val="26"/>
          <w:szCs w:val="26"/>
        </w:rPr>
        <w:t xml:space="preserve"> урокам </w:t>
      </w:r>
      <w:proofErr w:type="spellStart"/>
      <w:r w:rsidRPr="00F2029B">
        <w:rPr>
          <w:rFonts w:ascii="Times New Roman" w:hAnsi="Times New Roman" w:cs="Times New Roman"/>
          <w:b/>
          <w:bCs/>
          <w:sz w:val="26"/>
          <w:szCs w:val="26"/>
        </w:rPr>
        <w:t>аварії</w:t>
      </w:r>
      <w:proofErr w:type="spellEnd"/>
      <w:r w:rsidRPr="00F2029B">
        <w:rPr>
          <w:rFonts w:ascii="Times New Roman" w:hAnsi="Times New Roman" w:cs="Times New Roman"/>
          <w:b/>
          <w:bCs/>
          <w:sz w:val="26"/>
          <w:szCs w:val="26"/>
        </w:rPr>
        <w:t xml:space="preserve"> на АЕС «</w:t>
      </w:r>
      <w:proofErr w:type="spellStart"/>
      <w:r w:rsidRPr="00F2029B">
        <w:rPr>
          <w:rFonts w:ascii="Times New Roman" w:hAnsi="Times New Roman" w:cs="Times New Roman"/>
          <w:b/>
          <w:bCs/>
          <w:sz w:val="26"/>
          <w:szCs w:val="26"/>
        </w:rPr>
        <w:t>Фукусіма</w:t>
      </w:r>
      <w:proofErr w:type="spellEnd"/>
      <w:r w:rsidRPr="00F2029B">
        <w:rPr>
          <w:rFonts w:ascii="Times New Roman" w:hAnsi="Times New Roman" w:cs="Times New Roman"/>
          <w:b/>
          <w:bCs/>
          <w:sz w:val="26"/>
          <w:szCs w:val="26"/>
        </w:rPr>
        <w:t xml:space="preserve">»: </w:t>
      </w:r>
      <w:proofErr w:type="spellStart"/>
      <w:r w:rsidRPr="00F2029B">
        <w:rPr>
          <w:rFonts w:ascii="Times New Roman" w:hAnsi="Times New Roman" w:cs="Times New Roman"/>
          <w:b/>
          <w:bCs/>
          <w:sz w:val="26"/>
          <w:szCs w:val="26"/>
        </w:rPr>
        <w:t>висновки</w:t>
      </w:r>
      <w:proofErr w:type="spellEnd"/>
      <w:r w:rsidRPr="00F2029B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F2029B">
        <w:rPr>
          <w:rFonts w:ascii="Times New Roman" w:hAnsi="Times New Roman" w:cs="Times New Roman"/>
          <w:b/>
          <w:bCs/>
          <w:sz w:val="26"/>
          <w:szCs w:val="26"/>
        </w:rPr>
        <w:t>пропозиції</w:t>
      </w:r>
      <w:proofErr w:type="spellEnd"/>
    </w:p>
    <w:p w14:paraId="44F0852F" w14:textId="5A324499" w:rsidR="00F2029B" w:rsidRPr="00F2029B" w:rsidRDefault="00F2029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B9B3A3A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20 листопада 2012 року в приміщенні Інституту проблем безпеки атомних електростанцій НАН України відбулося засідання Колегії Державної інспекції ядерного регулювання України.</w:t>
      </w:r>
    </w:p>
    <w:p w14:paraId="4D158B60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З доповідями  виступили:</w:t>
      </w:r>
    </w:p>
    <w:p w14:paraId="4E90C694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UA"/>
        </w:rPr>
        <w:t>- В.о. першого віце-президента – технічного директора ДП НАЕК  «Енергоатом»  </w:t>
      </w:r>
      <w:proofErr w:type="spellStart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UA"/>
        </w:rPr>
        <w:t>Білей</w:t>
      </w:r>
      <w:proofErr w:type="spellEnd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UA"/>
        </w:rPr>
        <w:t xml:space="preserve"> Д.В. на тему: «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Стратегія реалізації заходів, визначених за результатами стрес-тестів, на АЕС з реакторами типу ВВЕР»;</w:t>
      </w:r>
    </w:p>
    <w:p w14:paraId="231EFA67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 директор Державного підприємства "Державний науково-технічний центр з ядерної та радіаційної безпеки" (ДНТЦ ЯРБ) </w:t>
      </w:r>
      <w:hyperlink r:id="rId6" w:history="1">
        <w:r w:rsidRPr="00F202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UA"/>
          </w:rPr>
          <w:t>Громов Г.В. </w:t>
        </w:r>
      </w:hyperlink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«Хід та стратегія реалізації заходів, визначених за результатами стрес-тестів на діючих енергоблоках АЕС України» і «Критерії та вимоги безпеки щодо будівництва нових енергоблоків АЕС в світлі уроків аварії на АЕС Фукусіма».</w:t>
      </w:r>
    </w:p>
    <w:p w14:paraId="767904B3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</w:t>
      </w:r>
    </w:p>
    <w:p w14:paraId="1BB64B94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Минулого року,  після аварії на АЕС Фукусіма-1,  Україна приєдналася до ініціативи ЄК та Європейської Групи Регуляторів Ядерної Безпеки та виконала стрес-тести для діючих енергоблоків АЕС (перше питання порядку денного засідання Колегії). За результатами стрес-тестів, висновків державної експертизи ядерної та радіаційної безпеки, результатів партнерської перевірки ЄК,  були визначені рекомендації щодо напрямків з підвищення безпеки та внесені відповідні зміни до Комплексної (зведеної) Програми підвищення безпеки. Оновлена Комплексна (зведена) Програма затверджена Постановою Кабінету Міністрів України від 7 грудня 2011 року № 1270.</w:t>
      </w:r>
    </w:p>
    <w:p w14:paraId="3B7E2CAE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В доповіді ДП НАЕК «Енергоатом» була наведена інформація щодо підходів та стану виконання заходів, які визначені за результатами стрес-тестів. Зокрема,  </w:t>
      </w:r>
      <w:proofErr w:type="spellStart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відмічено</w:t>
      </w:r>
      <w:proofErr w:type="spellEnd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, що вже визначений перелік додаткового мобільного обладнання, яке необхідне для подолання повного знеструмлення та втрати кінцевого поглинача тепла, а саме для кожного енергоблоку необхідні два мобільних дизель-генератора (0,4 та 6 кВ) та три мобільних насосних установки (подача води в БВ, подача води в ПГ, подача технічної води групи «А»). Майже для всіх заходів визначені концептуальні рішення щодо їх реалізації, розпочато виконання необхідних аналітичних проробок.</w:t>
      </w:r>
    </w:p>
    <w:p w14:paraId="7284E6B9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Разом з цим, в доповіді ДНТЦ ЯРБ були відзначені окремі проблеми стосовно реалізації заходів, визначених за результатами стрес-тестів, а саме:</w:t>
      </w:r>
    </w:p>
    <w:p w14:paraId="6F944D67" w14:textId="77777777" w:rsidR="00F2029B" w:rsidRPr="00F2029B" w:rsidRDefault="00F2029B" w:rsidP="00F2029B">
      <w:pPr>
        <w:spacing w:after="0" w:line="245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UA"/>
        </w:rPr>
        <w:t>1.  Заходи щодо підвищення стійкості АЕС до сейсмічних впливів</w:t>
      </w:r>
    </w:p>
    <w:p w14:paraId="276A4E8C" w14:textId="77777777" w:rsidR="00F2029B" w:rsidRPr="00F2029B" w:rsidRDefault="00F2029B" w:rsidP="00F2029B">
      <w:pPr>
        <w:spacing w:after="0" w:line="240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-         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система постійного сейсмологічного моніторингу впроваджена лише для майданчику ЮУАЕС, у зв’язку з чим існує невизначеність з рівнями сейсмічності майданчиків ХАЕС, РАЕС, ЗАЕС. Для майданчику ЗАЕС ситуація найбільш критична, оскільки сейсмічні дослідження для нього в необхідному обсязі не виконувалися. Згідно різних джерел сейсмічність майданчику ЗАЕС може складати від 7 до 8 балів (від 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0,1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UA"/>
        </w:rPr>
        <w:t>g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 до 0,2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UA"/>
        </w:rPr>
        <w:t>g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). Оцінку сейсмостійкості конструкцій, систем та елементів необхідно виконувати на рівень МРЗ 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&gt;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0,1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UA"/>
        </w:rPr>
        <w:t>g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та передбачати необхідні компенсуючі заходи;</w:t>
      </w:r>
    </w:p>
    <w:p w14:paraId="34541A84" w14:textId="77777777" w:rsidR="00F2029B" w:rsidRPr="00F2029B" w:rsidRDefault="00F2029B" w:rsidP="00F2029B">
      <w:pPr>
        <w:spacing w:after="0" w:line="240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lastRenderedPageBreak/>
        <w:t>-         кваліфікація обладнання та оцінка сейсмостійкості трубопроводів, конструкцій, будівель і споруд на встановлені рівні сейсмічного впливу (0,1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g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- ХАЕС, РАЕС; 0,12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g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– ЮУАЕС; 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&gt;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0,1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g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- ЗАЕС) не завершені для жодного енергоблоку,  запаси сейсмостійкості не оцінені.</w:t>
      </w:r>
    </w:p>
    <w:p w14:paraId="198A02A3" w14:textId="77777777" w:rsidR="00F2029B" w:rsidRPr="00F2029B" w:rsidRDefault="00F2029B" w:rsidP="00F20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UA"/>
        </w:rPr>
        <w:t>2. Заходи щодо забезпечення відведення тепла від активної зони та БВ в умовах повного знеструмлення та втрати кінцевого поглинача тепла</w:t>
      </w:r>
    </w:p>
    <w:p w14:paraId="5E93E208" w14:textId="77777777" w:rsidR="00F2029B" w:rsidRPr="00F2029B" w:rsidRDefault="00F2029B" w:rsidP="00F2029B">
      <w:pPr>
        <w:spacing w:after="0" w:line="240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         переважна більшість заходів знаходиться на стадії концепції, конкретні проектні рішення та розрахунково-аналітичні обґрунтування не розроблені;</w:t>
      </w:r>
    </w:p>
    <w:p w14:paraId="6A533D4C" w14:textId="77777777" w:rsidR="00F2029B" w:rsidRPr="00F2029B" w:rsidRDefault="00F2029B" w:rsidP="00F2029B">
      <w:pPr>
        <w:spacing w:after="0" w:line="240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           відсутній поетапний графік реалізації заходів, що унеможливлює ефективний контроль з боку Держатомрегулювання;</w:t>
      </w:r>
    </w:p>
    <w:p w14:paraId="16637822" w14:textId="77777777" w:rsidR="00F2029B" w:rsidRPr="00F2029B" w:rsidRDefault="00F2029B" w:rsidP="00F2029B">
      <w:pPr>
        <w:spacing w:after="0" w:line="240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         незважаючи на вжиті заходи з визначення єдиної технічної політики зберігається неузгодженість між окремими АЕС з аналогічними установками, залишаються загальні невирішені проблеми: забезпечення </w:t>
      </w:r>
      <w:proofErr w:type="spellStart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підкритичності</w:t>
      </w:r>
      <w:proofErr w:type="spellEnd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БВ у разі підживлення неборованою водою,  підтвердження цілісності обладнання, трубопроводів та споруд,  які мають використовуватися для виконання ФБ  при екстремальних впливах.</w:t>
      </w:r>
    </w:p>
    <w:p w14:paraId="01047CEF" w14:textId="77777777" w:rsidR="00F2029B" w:rsidRPr="00F2029B" w:rsidRDefault="00F2029B" w:rsidP="00F20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           </w:t>
      </w:r>
      <w:r w:rsidRPr="00F2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UA"/>
        </w:rPr>
        <w:t>3.  Заходи щодо управління важкими аваріями</w:t>
      </w:r>
    </w:p>
    <w:p w14:paraId="2439825E" w14:textId="77777777" w:rsidR="00F2029B" w:rsidRPr="00F2029B" w:rsidRDefault="00F2029B" w:rsidP="00F2029B">
      <w:pPr>
        <w:spacing w:after="0" w:line="240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         відсутня обґрунтована технічна концепція щодо впровадження системи зниження тиску парогазової суміші в герметичному огородженні РУ;</w:t>
      </w:r>
    </w:p>
    <w:p w14:paraId="4D4B03B3" w14:textId="77777777" w:rsidR="00F2029B" w:rsidRPr="00F2029B" w:rsidRDefault="00F2029B" w:rsidP="00F2029B">
      <w:pPr>
        <w:spacing w:after="0" w:line="240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         відсутні технічні засоби для інструментального забезпечення моніторингу параметрів енергоблоку підчас аварії та реалізації стратегій з керування перебігом аварій;</w:t>
      </w:r>
    </w:p>
    <w:p w14:paraId="51D9CE2B" w14:textId="77777777" w:rsidR="00F2029B" w:rsidRPr="00F2029B" w:rsidRDefault="00F2029B" w:rsidP="00F2029B">
      <w:pPr>
        <w:spacing w:after="0" w:line="240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         не виконані розрахунково-аналітичні оцінки ефективності та можливості реалізації технічних рішень для утримання розплаву в межах КР та  ГО;</w:t>
      </w:r>
    </w:p>
    <w:p w14:paraId="2BC72B94" w14:textId="77777777" w:rsidR="00F2029B" w:rsidRPr="00F2029B" w:rsidRDefault="00F2029B" w:rsidP="00F2029B">
      <w:pPr>
        <w:spacing w:after="0" w:line="240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         відсутня </w:t>
      </w:r>
      <w:proofErr w:type="spellStart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валідація</w:t>
      </w:r>
      <w:proofErr w:type="spellEnd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розрахункових моделей, що використовуються для обґрунтування організаційно-технічних заходів з управління важкими аваріями;</w:t>
      </w:r>
    </w:p>
    <w:p w14:paraId="12DF8C15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</w:t>
      </w:r>
    </w:p>
    <w:p w14:paraId="250DC7C4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За результатами обговорення була підтверджена важливість порушених питань, необхідність їх вирішення в найкоротший термін.</w:t>
      </w:r>
    </w:p>
    <w:p w14:paraId="1CB55E48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</w:t>
      </w:r>
    </w:p>
    <w:p w14:paraId="74EEACD8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Розгляд питання реалізації «пост-</w:t>
      </w:r>
      <w:proofErr w:type="spellStart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Фукусімських</w:t>
      </w:r>
      <w:proofErr w:type="spellEnd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» заходів на діючих енергоблоках став підґрунтям для подальшого обговорення необхідності перегляду існуючих критеріїв і регулюючих вимог безпеки (друге питання порядку денного засідання Колегії). Зокрема, було зазначено, що аварія на АЕС Фукусіма-1 стала точкою відліку як для переоцінки безпеки діючих АЕС, так і для кардинального перегляду вимог до АЕС, що будуються та плануються до будівництва. Така діяльність здійснюється в провідних ядерних державах світу, міжнародними організаціями (МАГАТЕ, 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UA"/>
        </w:rPr>
        <w:t>WENRA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)</w:t>
      </w: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. Держатомрегулювання також розпочато роботу з комплексної ревізії норм і правил з ядерної та радіаційної безпеки,  та  запропоновані такі ключові нововведення щодо перегляду існуючих критеріїв і регулюючих вимог безпеки до проектування нових енергоблоків:</w:t>
      </w:r>
    </w:p>
    <w:p w14:paraId="0369DF9F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 встановити більш жорсткі критерії прийнятності для важких аварій. Зокрема, для нових АЕС проект повинен продемонструвати, що такі аварії не призводять до радіологічних наслідків за межами санітарно-захисної зони, що вимагають евакуації населення;</w:t>
      </w:r>
    </w:p>
    <w:p w14:paraId="0FB481B3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lastRenderedPageBreak/>
        <w:t>- у проекті повинні бути обґрунтовані запаси безпеки по відношенню до розширеного спектру можливих екстремальних природних і техногенних впливів/комбінацій впливів;</w:t>
      </w:r>
    </w:p>
    <w:p w14:paraId="1AE06694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 - існуючі запаси по сейсмічним впливам, затопленням, екстремальним температурним впливам і </w:t>
      </w:r>
      <w:proofErr w:type="spellStart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т.д</w:t>
      </w:r>
      <w:proofErr w:type="spellEnd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., для нових АЕС повинні бути переглянуті в сторону суттєвого збільшення (запас по сейсмічним впливам 100%);</w:t>
      </w:r>
    </w:p>
    <w:p w14:paraId="2DCBF83C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 встановлені запаси безпеки мають враховувати прогноз розвитку кліматичної ситуації принаймні на термін, що охоплює проектний строк експлуатації, потенційний період експлуатації у </w:t>
      </w:r>
      <w:proofErr w:type="spellStart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понадпроектний</w:t>
      </w:r>
      <w:proofErr w:type="spellEnd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термін та потенційний строк завершення зняття з експлуатації;</w:t>
      </w:r>
    </w:p>
    <w:p w14:paraId="04FEDFAE" w14:textId="77777777" w:rsidR="00F2029B" w:rsidRPr="00F2029B" w:rsidRDefault="00F2029B" w:rsidP="00F202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- мають бути передбачені технічні засоби щодо забезпечення тривалого виконання функцій безпеки, зокрема, при повному знеструмленні і втраті кінцевого поглинача тепла.</w:t>
      </w:r>
    </w:p>
    <w:p w14:paraId="40D7CD6F" w14:textId="77777777" w:rsidR="00F2029B" w:rsidRPr="00F2029B" w:rsidRDefault="00F2029B" w:rsidP="00F2029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Члени Колегії та присутні на засіданні, що виступали при обговоренні даного питання, підтримали зазначені нововведення, запропоновані ДНТЦ ЯРБ. Також було вирішено передбачити їх подальше обговорення на засіданні Консультативної Ради з реакторної безпеки при Держатомрегулювання України, з досвідченими фахівцями ядерної галузі, та обов’язкове винесення на обговорення громадськості.</w:t>
      </w:r>
    </w:p>
    <w:p w14:paraId="31F0F025" w14:textId="77777777" w:rsidR="00F2029B" w:rsidRPr="00F2029B" w:rsidRDefault="00F2029B" w:rsidP="00F2029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Під час засідання Колегії Держатомрегулювання також виступив начальник Технічного управління Департаменту з перспективних проектів Нижегородської інжинірингової компанії «</w:t>
      </w:r>
      <w:proofErr w:type="spellStart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Атоменергопроект</w:t>
      </w:r>
      <w:proofErr w:type="spellEnd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» (Російська Федерація) </w:t>
      </w:r>
      <w:proofErr w:type="spellStart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Рогов</w:t>
      </w:r>
      <w:proofErr w:type="spellEnd"/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М.Ф. щодо дотримання сучасних вимог з безпеки в російських проектах АЕС, що будуються за кордоном.</w:t>
      </w:r>
    </w:p>
    <w:p w14:paraId="03398699" w14:textId="77777777" w:rsidR="00F2029B" w:rsidRPr="00F2029B" w:rsidRDefault="00F2029B" w:rsidP="00F20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</w:t>
      </w:r>
    </w:p>
    <w:p w14:paraId="557E8A55" w14:textId="3C0FD7D7" w:rsidR="00F2029B" w:rsidRPr="00F2029B" w:rsidRDefault="00F2029B" w:rsidP="00F2029B">
      <w:pPr>
        <w:rPr>
          <w:rFonts w:ascii="Times New Roman" w:hAnsi="Times New Roman" w:cs="Times New Roman"/>
          <w:sz w:val="26"/>
          <w:szCs w:val="26"/>
        </w:rPr>
      </w:pPr>
      <w:r w:rsidRPr="00F2029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</w:t>
      </w:r>
    </w:p>
    <w:sectPr w:rsidR="00F2029B" w:rsidRPr="00F2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5F22" w14:textId="77777777" w:rsidR="00F2029B" w:rsidRDefault="00F2029B" w:rsidP="00F2029B">
      <w:pPr>
        <w:spacing w:after="0" w:line="240" w:lineRule="auto"/>
      </w:pPr>
      <w:r>
        <w:separator/>
      </w:r>
    </w:p>
  </w:endnote>
  <w:endnote w:type="continuationSeparator" w:id="0">
    <w:p w14:paraId="27304AB0" w14:textId="77777777" w:rsidR="00F2029B" w:rsidRDefault="00F2029B" w:rsidP="00F2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76E4" w14:textId="77777777" w:rsidR="00F2029B" w:rsidRDefault="00F2029B" w:rsidP="00F2029B">
      <w:pPr>
        <w:spacing w:after="0" w:line="240" w:lineRule="auto"/>
      </w:pPr>
      <w:r>
        <w:separator/>
      </w:r>
    </w:p>
  </w:footnote>
  <w:footnote w:type="continuationSeparator" w:id="0">
    <w:p w14:paraId="0DC60F74" w14:textId="77777777" w:rsidR="00F2029B" w:rsidRDefault="00F2029B" w:rsidP="00F20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9B"/>
    <w:rsid w:val="00A90598"/>
    <w:rsid w:val="00B13C5F"/>
    <w:rsid w:val="00F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1A7B"/>
  <w15:chartTrackingRefBased/>
  <w15:docId w15:val="{EE6CB868-F17C-4CF9-9155-275F009C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F2029B"/>
  </w:style>
  <w:style w:type="character" w:customStyle="1" w:styleId="longtext">
    <w:name w:val="longtext"/>
    <w:basedOn w:val="DefaultParagraphFont"/>
    <w:rsid w:val="00F2029B"/>
  </w:style>
  <w:style w:type="character" w:styleId="Hyperlink">
    <w:name w:val="Hyperlink"/>
    <w:basedOn w:val="DefaultParagraphFont"/>
    <w:uiPriority w:val="99"/>
    <w:semiHidden/>
    <w:unhideWhenUsed/>
    <w:rsid w:val="00F202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9B"/>
  </w:style>
  <w:style w:type="paragraph" w:styleId="Footer">
    <w:name w:val="footer"/>
    <w:basedOn w:val="Normal"/>
    <w:link w:val="FooterChar"/>
    <w:uiPriority w:val="99"/>
    <w:unhideWhenUsed/>
    <w:rsid w:val="00F2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95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tc.kiev.ua/ua/about-us-ua/leadership-ua/22-gromov-grygory-u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2020-08-14T13:32:00Z</dcterms:created>
  <dcterms:modified xsi:type="dcterms:W3CDTF">2020-08-14T13:50:00Z</dcterms:modified>
</cp:coreProperties>
</file>